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r>
        <w:rPr>
          <w:rFonts w:ascii="Arial" w:hAnsi="Arial"/>
          <w:u w:color="000000"/>
          <w:rtl w:val="0"/>
          <w:lang w:val="en-US"/>
          <w14:textOutline w14:w="12700" w14:cap="flat">
            <w14:noFill/>
            <w14:miter w14:lim="400000"/>
          </w14:textOutline>
        </w:rPr>
        <w:t>Pg Cert Attention Deficit Hyperactivity Disorder.</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p>
    <w:p>
      <w:pPr>
        <w:pStyle w:val="Default"/>
        <w:bidi w:val="0"/>
        <w:spacing w:before="0" w:line="480" w:lineRule="auto"/>
        <w:ind w:left="0" w:right="0" w:firstLine="0"/>
        <w:jc w:val="both"/>
        <w:rPr>
          <w:rFonts w:ascii="Arial" w:cs="Arial" w:hAnsi="Arial" w:eastAsia="Arial"/>
          <w:u w:color="000000"/>
          <w:shd w:val="clear" w:color="auto" w:fill="ffffff"/>
          <w:rtl w:val="0"/>
          <w:lang w:val="en-US"/>
          <w14:textOutline w14:w="12700" w14:cap="flat">
            <w14:noFill/>
            <w14:miter w14:lim="400000"/>
          </w14:textOutline>
        </w:rPr>
      </w:pP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r>
        <w:rPr>
          <w:rFonts w:ascii="Arial" w:hAnsi="Arial"/>
          <w:outline w:val="0"/>
          <w:color w:val="212529"/>
          <w:shd w:val="clear" w:color="auto" w:fill="ffffff"/>
          <w:rtl w:val="0"/>
          <w:lang w:val="en-US"/>
          <w14:textFill>
            <w14:solidFill>
              <w14:srgbClr w14:val="212529"/>
            </w14:solidFill>
          </w14:textFill>
        </w:rPr>
        <w:t>"You are a philanthropist with a billion pounds to spend, and you have decided to put it into autism</w:t>
      </w:r>
      <w:r>
        <w:rPr>
          <w:rFonts w:ascii="Arial" w:hAnsi="Arial" w:hint="default"/>
          <w:outline w:val="0"/>
          <w:color w:val="212529"/>
          <w:shd w:val="clear" w:color="auto" w:fill="ffffff"/>
          <w:rtl w:val="0"/>
          <w14:textFill>
            <w14:solidFill>
              <w14:srgbClr w14:val="212529"/>
            </w14:solidFill>
          </w14:textFill>
        </w:rPr>
        <w:t> </w:t>
      </w:r>
      <w:r>
        <w:rPr>
          <w:rFonts w:ascii="Arial" w:hAnsi="Arial"/>
          <w:b w:val="1"/>
          <w:bCs w:val="1"/>
          <w:outline w:val="0"/>
          <w:color w:val="212529"/>
          <w:shd w:val="clear" w:color="auto" w:fill="ffffff"/>
          <w:rtl w:val="0"/>
          <w14:textFill>
            <w14:solidFill>
              <w14:srgbClr w14:val="212529"/>
            </w14:solidFill>
          </w14:textFill>
        </w:rPr>
        <w:t>or</w:t>
      </w:r>
      <w:r>
        <w:rPr>
          <w:rFonts w:ascii="Arial" w:hAnsi="Arial" w:hint="default"/>
          <w:b w:val="1"/>
          <w:bCs w:val="1"/>
          <w:outline w:val="0"/>
          <w:color w:val="212529"/>
          <w:shd w:val="clear" w:color="auto" w:fill="ffffff"/>
          <w:rtl w:val="0"/>
          <w14:textFill>
            <w14:solidFill>
              <w14:srgbClr w14:val="212529"/>
            </w14:solidFill>
          </w14:textFill>
        </w:rPr>
        <w:t> </w:t>
      </w:r>
      <w:r>
        <w:rPr>
          <w:rFonts w:ascii="Arial" w:hAnsi="Arial"/>
          <w:outline w:val="0"/>
          <w:color w:val="212529"/>
          <w:shd w:val="clear" w:color="auto" w:fill="ffffff"/>
          <w:rtl w:val="0"/>
          <w:lang w:val="en-US"/>
          <w14:textFill>
            <w14:solidFill>
              <w14:srgbClr w14:val="212529"/>
            </w14:solidFill>
          </w14:textFill>
        </w:rPr>
        <w:t>ADHD research.</w:t>
      </w:r>
      <w:r>
        <w:rPr>
          <w:rFonts w:ascii="Arial" w:hAnsi="Arial" w:hint="default"/>
          <w:outline w:val="0"/>
          <w:color w:val="212529"/>
          <w:shd w:val="clear" w:color="auto" w:fill="ffffff"/>
          <w:rtl w:val="0"/>
          <w14:textFill>
            <w14:solidFill>
              <w14:srgbClr w14:val="212529"/>
            </w14:solidFill>
          </w14:textFill>
        </w:rPr>
        <w:t xml:space="preserve">  </w:t>
      </w:r>
      <w:r>
        <w:rPr>
          <w:rFonts w:ascii="Arial" w:hAnsi="Arial"/>
          <w:outline w:val="0"/>
          <w:color w:val="212529"/>
          <w:shd w:val="clear" w:color="auto" w:fill="ffffff"/>
          <w:rtl w:val="0"/>
          <w:lang w:val="en-US"/>
          <w14:textFill>
            <w14:solidFill>
              <w14:srgbClr w14:val="212529"/>
            </w14:solidFill>
          </w14:textFill>
        </w:rPr>
        <w:t>Would you give it predominantly to neuroscientists, to geneticists, to educationalists, or to another group.</w:t>
      </w:r>
      <w:r>
        <w:rPr>
          <w:rFonts w:ascii="Arial" w:hAnsi="Arial" w:hint="default"/>
          <w:outline w:val="0"/>
          <w:color w:val="212529"/>
          <w:shd w:val="clear" w:color="auto" w:fill="ffffff"/>
          <w:rtl w:val="0"/>
          <w14:textFill>
            <w14:solidFill>
              <w14:srgbClr w14:val="212529"/>
            </w14:solidFill>
          </w14:textFill>
        </w:rPr>
        <w:t xml:space="preserve">  </w:t>
      </w:r>
      <w:r>
        <w:rPr>
          <w:rFonts w:ascii="Arial" w:hAnsi="Arial"/>
          <w:outline w:val="0"/>
          <w:color w:val="212529"/>
          <w:shd w:val="clear" w:color="auto" w:fill="ffffff"/>
          <w:rtl w:val="0"/>
          <w:lang w:val="en-US"/>
          <w14:textFill>
            <w14:solidFill>
              <w14:srgbClr w14:val="212529"/>
            </w14:solidFill>
          </w14:textFill>
        </w:rPr>
        <w:t>Please give your reasons in 1500 words"</w:t>
      </w: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r>
        <w:rPr>
          <w:rFonts w:ascii="Arial" w:hAnsi="Arial"/>
          <w:outline w:val="0"/>
          <w:color w:val="212529"/>
          <w:shd w:val="clear" w:color="auto" w:fill="ffffff"/>
          <w:rtl w:val="0"/>
          <w:lang w:val="en-US"/>
          <w14:textFill>
            <w14:solidFill>
              <w14:srgbClr w14:val="212529"/>
            </w14:solidFill>
          </w14:textFill>
        </w:rPr>
        <w:t>For the theoretical essay choose between discussing autism</w:t>
      </w:r>
      <w:r>
        <w:rPr>
          <w:rFonts w:ascii="Arial" w:hAnsi="Arial" w:hint="default"/>
          <w:outline w:val="0"/>
          <w:color w:val="212529"/>
          <w:shd w:val="clear" w:color="auto" w:fill="ffffff"/>
          <w:rtl w:val="0"/>
          <w14:textFill>
            <w14:solidFill>
              <w14:srgbClr w14:val="212529"/>
            </w14:solidFill>
          </w14:textFill>
        </w:rPr>
        <w:t> </w:t>
      </w:r>
      <w:r>
        <w:rPr>
          <w:rFonts w:ascii="Arial" w:hAnsi="Arial"/>
          <w:b w:val="1"/>
          <w:bCs w:val="1"/>
          <w:outline w:val="0"/>
          <w:color w:val="212529"/>
          <w:shd w:val="clear" w:color="auto" w:fill="ffffff"/>
          <w:rtl w:val="0"/>
          <w14:textFill>
            <w14:solidFill>
              <w14:srgbClr w14:val="212529"/>
            </w14:solidFill>
          </w14:textFill>
        </w:rPr>
        <w:t>or</w:t>
      </w:r>
      <w:r>
        <w:rPr>
          <w:rFonts w:ascii="Arial" w:hAnsi="Arial" w:hint="default"/>
          <w:outline w:val="0"/>
          <w:color w:val="212529"/>
          <w:shd w:val="clear" w:color="auto" w:fill="ffffff"/>
          <w:rtl w:val="0"/>
          <w14:textFill>
            <w14:solidFill>
              <w14:srgbClr w14:val="212529"/>
            </w14:solidFill>
          </w14:textFill>
        </w:rPr>
        <w:t> </w:t>
      </w:r>
      <w:r>
        <w:rPr>
          <w:rFonts w:ascii="Arial" w:hAnsi="Arial"/>
          <w:outline w:val="0"/>
          <w:color w:val="212529"/>
          <w:shd w:val="clear" w:color="auto" w:fill="ffffff"/>
          <w:rtl w:val="0"/>
          <w14:textFill>
            <w14:solidFill>
              <w14:srgbClr w14:val="212529"/>
            </w14:solidFill>
          </w14:textFill>
        </w:rPr>
        <w:t>ADHD.</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r>
        <w:rPr>
          <w:rFonts w:ascii="Arial" w:hAnsi="Arial"/>
          <w:u w:color="000000"/>
          <w:rtl w:val="0"/>
          <w:lang w:val="en-US"/>
          <w14:textOutline w14:w="12700" w14:cap="flat">
            <w14:noFill/>
            <w14:miter w14:lim="400000"/>
          </w14:textOutline>
        </w:rPr>
        <w:t>1</w:t>
      </w:r>
      <w:r>
        <w:rPr>
          <w:rFonts w:ascii="Arial" w:hAnsi="Arial"/>
          <w:u w:color="000000"/>
          <w:rtl w:val="0"/>
          <w:lang w:val="en-US"/>
          <w14:textOutline w14:w="12700" w14:cap="flat">
            <w14:noFill/>
            <w14:miter w14:lim="400000"/>
          </w14:textOutline>
        </w:rPr>
        <w:t>470</w:t>
      </w:r>
      <w:r>
        <w:rPr>
          <w:rFonts w:ascii="Arial" w:hAnsi="Arial"/>
          <w:u w:color="000000"/>
          <w:rtl w:val="0"/>
          <w:lang w:val="en-US"/>
          <w14:textOutline w14:w="12700" w14:cap="flat">
            <w14:noFill/>
            <w14:miter w14:lim="400000"/>
          </w14:textOutline>
        </w:rPr>
        <w:t xml:space="preserve"> words </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r>
        <w:rPr>
          <w:rFonts w:ascii="Arial" w:hAnsi="Arial"/>
          <w:u w:color="000000"/>
          <w:rtl w:val="0"/>
          <w:lang w:val="en-US"/>
          <w14:textOutline w14:w="12700" w14:cap="flat">
            <w14:noFill/>
            <w14:miter w14:lim="400000"/>
          </w14:textOutline>
        </w:rPr>
        <w:t>Extension due to extenuating circumstances granted.</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r>
        <w:rPr>
          <w:rFonts w:ascii="Arial" w:hAnsi="Arial"/>
          <w:u w:color="000000"/>
          <w:rtl w:val="0"/>
          <w:lang w:val="en-US"/>
          <w14:textOutline w14:w="12700" w14:cap="flat">
            <w14:noFill/>
            <w14:miter w14:lim="400000"/>
          </w14:textOutline>
        </w:rPr>
        <w:t>ND student</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r>
        <w:rPr>
          <w:rFonts w:ascii="Arial" w:hAnsi="Arial"/>
          <w:u w:color="000000"/>
          <w:rtl w:val="0"/>
          <w:lang w:val="en-US"/>
          <w14:textOutline w14:w="12700" w14:cap="flat">
            <w14:noFill/>
            <w14:miter w14:lim="400000"/>
          </w14:textOutline>
        </w:rPr>
        <w:t>2nd April 2024</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r>
        <w:rPr>
          <w:rFonts w:ascii="Arial" w:hAnsi="Arial"/>
          <w:u w:color="000000"/>
          <w:rtl w:val="0"/>
          <w:lang w:val="en-US"/>
          <w14:textOutline w14:w="12700" w14:cap="flat">
            <w14:noFill/>
            <w14:miter w14:lim="400000"/>
          </w14:textOutline>
        </w:rPr>
        <w:t>Student Number: Unknown</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r>
        <w:rPr>
          <w:rFonts w:ascii="Arial" w:hAnsi="Arial"/>
          <w:outline w:val="0"/>
          <w:color w:val="212529"/>
          <w:shd w:val="clear" w:color="auto" w:fill="ffffff"/>
          <w:rtl w:val="0"/>
          <w:lang w:val="en-US"/>
          <w14:textFill>
            <w14:solidFill>
              <w14:srgbClr w14:val="212529"/>
            </w14:solidFill>
          </w14:textFill>
        </w:rPr>
        <w:t>For the purpose of this assignment, the author wishes to draw the reader</w:t>
      </w:r>
      <w:r>
        <w:rPr>
          <w:rFonts w:ascii="Arial" w:hAnsi="Arial" w:hint="default"/>
          <w:outline w:val="0"/>
          <w:color w:val="212529"/>
          <w:shd w:val="clear" w:color="auto" w:fill="ffffff"/>
          <w:rtl w:val="0"/>
          <w:lang w:val="en-US"/>
          <w14:textFill>
            <w14:solidFill>
              <w14:srgbClr w14:val="212529"/>
            </w14:solidFill>
          </w14:textFill>
        </w:rPr>
        <w:t>’</w:t>
      </w:r>
      <w:r>
        <w:rPr>
          <w:rFonts w:ascii="Arial" w:hAnsi="Arial"/>
          <w:outline w:val="0"/>
          <w:color w:val="212529"/>
          <w:shd w:val="clear" w:color="auto" w:fill="ffffff"/>
          <w:rtl w:val="0"/>
          <w:lang w:val="en-US"/>
          <w14:textFill>
            <w14:solidFill>
              <w14:srgbClr w14:val="212529"/>
            </w14:solidFill>
          </w14:textFill>
        </w:rPr>
        <w:t xml:space="preserve">s attention to the research conducted by Taylor </w:t>
      </w:r>
      <w:r>
        <w:rPr>
          <w:rFonts w:ascii="Arial" w:hAnsi="Arial"/>
          <w:outline w:val="0"/>
          <w:color w:val="212529"/>
          <w:shd w:val="clear" w:color="auto" w:fill="ffffff"/>
          <w:rtl w:val="0"/>
          <w14:textFill>
            <w14:solidFill>
              <w14:srgbClr w14:val="212529"/>
            </w14:solidFill>
          </w14:textFill>
        </w:rPr>
        <w:t>et al.,</w:t>
      </w:r>
      <w:r>
        <w:rPr>
          <w:rFonts w:ascii="Arial" w:hAnsi="Arial"/>
          <w:outline w:val="0"/>
          <w:color w:val="212529"/>
          <w:shd w:val="clear" w:color="auto" w:fill="ffffff"/>
          <w:rtl w:val="0"/>
          <w:lang w:val="en-US"/>
          <w14:textFill>
            <w14:solidFill>
              <w14:srgbClr w14:val="212529"/>
            </w14:solidFill>
          </w14:textFill>
        </w:rPr>
        <w:t xml:space="preserve"> (2015), which suggests that there may be more similarities between autism and attention deficit hyperactivity disorder (ADHD) than differences, and that there is significant inheritability and likelihood of a diagnosis of ADHD if there is an autism diagnosis already in the family. As such, given that the author has such an enormous amount of money with which to conduct research, the author does not believe that separating the two conditions would be conducive to comprehensive research.  Therefore, the author would prefer an interdisciplinary approach and as such would fund both areas alongside other neurodivergent conditions.</w:t>
      </w: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r>
        <w:rPr>
          <w:rFonts w:ascii="Arial" w:hAnsi="Arial"/>
          <w:outline w:val="0"/>
          <w:color w:val="212529"/>
          <w:shd w:val="clear" w:color="auto" w:fill="ffffff"/>
          <w:rtl w:val="0"/>
          <w:lang w:val="en-US"/>
          <w14:textFill>
            <w14:solidFill>
              <w14:srgbClr w14:val="212529"/>
            </w14:solidFill>
          </w14:textFill>
        </w:rPr>
        <w:t>However, the author would also go one step further. The author would prefer to fund research into the study of both conditions in the female population alone, with good reason.  There is a strong body of evidence suggesting that females, in general, have a higher rate of diagnosis of diseases such as autoimmune conditions or mood disorders compared to males, who themselves have a higher likelihood of being diagnosed with neuro-developmental disorders, including autism and ADHD (</w:t>
      </w:r>
      <w:r>
        <w:rPr>
          <w:rFonts w:ascii="Arial" w:hAnsi="Arial"/>
          <w:outline w:val="0"/>
          <w:color w:val="212529"/>
          <w:shd w:val="clear" w:color="auto" w:fill="ffffff"/>
          <w:rtl w:val="0"/>
          <w14:textFill>
            <w14:solidFill>
              <w14:srgbClr w14:val="212529"/>
            </w14:solidFill>
          </w14:textFill>
        </w:rPr>
        <w:t>Galea</w:t>
      </w:r>
      <w:r>
        <w:rPr>
          <w:rFonts w:ascii="Arial" w:hAnsi="Arial"/>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14:textFill>
            <w14:solidFill>
              <w14:srgbClr w14:val="212529"/>
            </w14:solidFill>
          </w14:textFill>
        </w:rPr>
        <w:t>et al.,</w:t>
      </w:r>
      <w:r>
        <w:rPr>
          <w:rFonts w:ascii="Arial" w:hAnsi="Arial"/>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14:textFill>
            <w14:solidFill>
              <w14:srgbClr w14:val="212529"/>
            </w14:solidFill>
          </w14:textFill>
        </w:rPr>
        <w:t>2023).</w:t>
      </w:r>
      <w:r>
        <w:rPr>
          <w:rFonts w:ascii="Arial" w:hAnsi="Arial"/>
          <w:outline w:val="0"/>
          <w:color w:val="212529"/>
          <w:shd w:val="clear" w:color="auto" w:fill="ffffff"/>
          <w:rtl w:val="0"/>
          <w:lang w:val="en-US"/>
          <w14:textFill>
            <w14:solidFill>
              <w14:srgbClr w14:val="212529"/>
            </w14:solidFill>
          </w14:textFill>
        </w:rPr>
        <w:t xml:space="preserve">  When the general female populations </w:t>
      </w:r>
      <w:r>
        <w:rPr>
          <w:rFonts w:ascii="Arial" w:hAnsi="Arial"/>
          <w:i w:val="1"/>
          <w:iCs w:val="1"/>
          <w:outline w:val="0"/>
          <w:color w:val="212529"/>
          <w:shd w:val="clear" w:color="auto" w:fill="ffffff"/>
          <w:rtl w:val="0"/>
          <w:lang w:val="en-US"/>
          <w14:textFill>
            <w14:solidFill>
              <w14:srgbClr w14:val="212529"/>
            </w14:solidFill>
          </w14:textFill>
        </w:rPr>
        <w:t>are</w:t>
      </w:r>
      <w:r>
        <w:rPr>
          <w:rFonts w:ascii="Arial" w:hAnsi="Arial"/>
          <w:outline w:val="0"/>
          <w:color w:val="212529"/>
          <w:shd w:val="clear" w:color="auto" w:fill="ffffff"/>
          <w:rtl w:val="0"/>
          <w:lang w:val="en-US"/>
          <w14:textFill>
            <w14:solidFill>
              <w14:srgbClr w14:val="212529"/>
            </w14:solidFill>
          </w14:textFill>
        </w:rPr>
        <w:t xml:space="preserve"> diagnosed, there is a strong evidence base that diagnosis is often much later than in males (</w:t>
      </w:r>
      <w:r>
        <w:rPr>
          <w:rFonts w:ascii="Arial" w:hAnsi="Arial"/>
          <w:outline w:val="0"/>
          <w:color w:val="212529"/>
          <w:shd w:val="clear" w:color="auto" w:fill="ffffff"/>
          <w:rtl w:val="0"/>
          <w:lang w:val="da-DK"/>
          <w14:textFill>
            <w14:solidFill>
              <w14:srgbClr w14:val="212529"/>
            </w14:solidFill>
          </w14:textFill>
        </w:rPr>
        <w:t>Westergaard</w:t>
      </w:r>
      <w:r>
        <w:rPr>
          <w:rFonts w:ascii="Arial" w:hAnsi="Arial"/>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14:textFill>
            <w14:solidFill>
              <w14:srgbClr w14:val="212529"/>
            </w14:solidFill>
          </w14:textFill>
        </w:rPr>
        <w:t>et al.,</w:t>
      </w:r>
      <w:r>
        <w:rPr>
          <w:rFonts w:ascii="Arial" w:hAnsi="Arial"/>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14:textFill>
            <w14:solidFill>
              <w14:srgbClr w14:val="212529"/>
            </w14:solidFill>
          </w14:textFill>
        </w:rPr>
        <w:t>2019)</w:t>
      </w:r>
      <w:r>
        <w:rPr>
          <w:rFonts w:ascii="Arial" w:hAnsi="Arial"/>
          <w:outline w:val="0"/>
          <w:color w:val="212529"/>
          <w:shd w:val="clear" w:color="auto" w:fill="ffffff"/>
          <w:rtl w:val="0"/>
          <w:lang w:val="en-US"/>
          <w14:textFill>
            <w14:solidFill>
              <w14:srgbClr w14:val="212529"/>
            </w14:solidFill>
          </w14:textFill>
        </w:rPr>
        <w:t xml:space="preserve"> and they are frequently described as having </w:t>
      </w:r>
      <w:r>
        <w:rPr>
          <w:rFonts w:ascii="Arial" w:hAnsi="Arial" w:hint="default"/>
          <w:outline w:val="0"/>
          <w:color w:val="212529"/>
          <w:shd w:val="clear" w:color="auto" w:fill="ffffff"/>
          <w:rtl w:val="0"/>
          <w:lang w:val="en-US"/>
          <w14:textFill>
            <w14:solidFill>
              <w14:srgbClr w14:val="212529"/>
            </w14:solidFill>
          </w14:textFill>
        </w:rPr>
        <w:t>‘</w:t>
      </w:r>
      <w:r>
        <w:rPr>
          <w:rFonts w:ascii="Arial" w:hAnsi="Arial"/>
          <w:outline w:val="0"/>
          <w:color w:val="212529"/>
          <w:shd w:val="clear" w:color="auto" w:fill="ffffff"/>
          <w:rtl w:val="0"/>
          <w:lang w:val="en-US"/>
          <w14:textFill>
            <w14:solidFill>
              <w14:srgbClr w14:val="212529"/>
            </w14:solidFill>
          </w14:textFill>
        </w:rPr>
        <w:t>atypical</w:t>
      </w:r>
      <w:r>
        <w:rPr>
          <w:rFonts w:ascii="Arial" w:hAnsi="Arial" w:hint="default"/>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lang w:val="en-US"/>
          <w14:textFill>
            <w14:solidFill>
              <w14:srgbClr w14:val="212529"/>
            </w14:solidFill>
          </w14:textFill>
        </w:rPr>
        <w:t>symptoms, even when the condition is ultimately more prevalent in females (</w:t>
      </w:r>
      <w:r>
        <w:rPr>
          <w:rFonts w:ascii="Arial" w:hAnsi="Arial"/>
          <w:outline w:val="0"/>
          <w:color w:val="212529"/>
          <w:shd w:val="clear" w:color="auto" w:fill="ffffff"/>
          <w:rtl w:val="0"/>
          <w:lang w:val="de-DE"/>
          <w14:textFill>
            <w14:solidFill>
              <w14:srgbClr w14:val="212529"/>
            </w14:solidFill>
          </w14:textFill>
        </w:rPr>
        <w:t>DeVon</w:t>
      </w:r>
      <w:r>
        <w:rPr>
          <w:rFonts w:ascii="Arial" w:hAnsi="Arial"/>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14:textFill>
            <w14:solidFill>
              <w14:srgbClr w14:val="212529"/>
            </w14:solidFill>
          </w14:textFill>
        </w:rPr>
        <w:t>et al.,</w:t>
      </w:r>
      <w:r>
        <w:rPr>
          <w:rFonts w:ascii="Arial" w:hAnsi="Arial"/>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14:textFill>
            <w14:solidFill>
              <w14:srgbClr w14:val="212529"/>
            </w14:solidFill>
          </w14:textFill>
        </w:rPr>
        <w:t>2020)</w:t>
      </w:r>
      <w:r>
        <w:rPr>
          <w:rFonts w:ascii="Arial" w:hAnsi="Arial"/>
          <w:outline w:val="0"/>
          <w:color w:val="212529"/>
          <w:shd w:val="clear" w:color="auto" w:fill="ffffff"/>
          <w:rtl w:val="0"/>
          <w:lang w:val="en-US"/>
          <w14:textFill>
            <w14:solidFill>
              <w14:srgbClr w14:val="212529"/>
            </w14:solidFill>
          </w14:textFill>
        </w:rPr>
        <w:t>.  When one combines this with the many examples in neuroscience that illustrate that although at first glance there does not appear to be an apparent sex difference, there are different processes occurring that are driving it (</w:t>
      </w:r>
      <w:r>
        <w:rPr>
          <w:rFonts w:ascii="Arial" w:hAnsi="Arial"/>
          <w:outline w:val="0"/>
          <w:color w:val="212529"/>
          <w:shd w:val="clear" w:color="auto" w:fill="ffffff"/>
          <w:rtl w:val="0"/>
          <w14:textFill>
            <w14:solidFill>
              <w14:srgbClr w14:val="212529"/>
            </w14:solidFill>
          </w14:textFill>
        </w:rPr>
        <w:t>Yagi</w:t>
      </w:r>
      <w:r>
        <w:rPr>
          <w:rFonts w:ascii="Arial" w:hAnsi="Arial"/>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14:textFill>
            <w14:solidFill>
              <w14:srgbClr w14:val="212529"/>
            </w14:solidFill>
          </w14:textFill>
        </w:rPr>
        <w:t>et al.,</w:t>
      </w:r>
      <w:r>
        <w:rPr>
          <w:rFonts w:ascii="Arial" w:hAnsi="Arial"/>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14:textFill>
            <w14:solidFill>
              <w14:srgbClr w14:val="212529"/>
            </w14:solidFill>
          </w14:textFill>
        </w:rPr>
        <w:t>2020</w:t>
      </w:r>
      <w:r>
        <w:rPr>
          <w:rFonts w:ascii="Arial" w:hAnsi="Arial"/>
          <w:outline w:val="0"/>
          <w:color w:val="212529"/>
          <w:shd w:val="clear" w:color="auto" w:fill="ffffff"/>
          <w:rtl w:val="0"/>
          <w:lang w:val="en-US"/>
          <w14:textFill>
            <w14:solidFill>
              <w14:srgbClr w14:val="212529"/>
            </w14:solidFill>
          </w14:textFill>
        </w:rPr>
        <w:t>).</w:t>
      </w: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r>
        <w:rPr>
          <w:rFonts w:ascii="Arial" w:hAnsi="Arial"/>
          <w:outline w:val="0"/>
          <w:color w:val="212529"/>
          <w:shd w:val="clear" w:color="auto" w:fill="ffffff"/>
          <w:rtl w:val="0"/>
          <w:lang w:val="en-US"/>
          <w14:textFill>
            <w14:solidFill>
              <w14:srgbClr w14:val="212529"/>
            </w14:solidFill>
          </w14:textFill>
        </w:rPr>
        <w:t xml:space="preserve">Weir </w:t>
      </w:r>
      <w:r>
        <w:rPr>
          <w:rFonts w:ascii="Arial" w:hAnsi="Arial"/>
          <w:outline w:val="0"/>
          <w:color w:val="212529"/>
          <w:shd w:val="clear" w:color="auto" w:fill="ffffff"/>
          <w:rtl w:val="0"/>
          <w14:textFill>
            <w14:solidFill>
              <w14:srgbClr w14:val="212529"/>
            </w14:solidFill>
          </w14:textFill>
        </w:rPr>
        <w:t>et al.,</w:t>
      </w:r>
      <w:r>
        <w:rPr>
          <w:rFonts w:ascii="Arial" w:hAnsi="Arial"/>
          <w:outline w:val="0"/>
          <w:color w:val="212529"/>
          <w:shd w:val="clear" w:color="auto" w:fill="ffffff"/>
          <w:rtl w:val="0"/>
          <w:lang w:val="en-US"/>
          <w14:textFill>
            <w14:solidFill>
              <w14:srgbClr w14:val="212529"/>
            </w14:solidFill>
          </w14:textFill>
        </w:rPr>
        <w:t xml:space="preserve"> (2021) conducted a review of the literature available on neurodivergence and </w:t>
      </w:r>
      <w:r>
        <w:rPr>
          <w:rFonts w:ascii="Arial" w:hAnsi="Arial"/>
          <w:outline w:val="0"/>
          <w:color w:val="212529"/>
          <w:shd w:val="clear" w:color="auto" w:fill="ffffff"/>
          <w:rtl w:val="0"/>
          <w:lang w:val="en-US"/>
          <w14:textFill>
            <w14:solidFill>
              <w14:srgbClr w14:val="212529"/>
            </w14:solidFill>
          </w14:textFill>
        </w:rPr>
        <w:t>non-communicable physical health conditions</w:t>
      </w:r>
      <w:r>
        <w:rPr>
          <w:rFonts w:ascii="Arial" w:hAnsi="Arial"/>
          <w:outline w:val="0"/>
          <w:color w:val="212529"/>
          <w:shd w:val="clear" w:color="auto" w:fill="ffffff"/>
          <w:rtl w:val="0"/>
          <w:lang w:val="en-US"/>
          <w14:textFill>
            <w14:solidFill>
              <w14:srgbClr w14:val="212529"/>
            </w14:solidFill>
          </w14:textFill>
        </w:rPr>
        <w:t xml:space="preserve"> and discovered that on the whole, autistic people were more likely to experience many more physical disorders than their neurotypical (NT) counterparts; and that within the autistic population, there were differences between males and females in the types of disorders experienced.</w:t>
      </w:r>
      <w:r>
        <w:rPr>
          <w:rFonts w:ascii="Arial" w:hAnsi="Arial"/>
          <w:outline w:val="0"/>
          <w:color w:val="212529"/>
          <w:shd w:val="clear" w:color="auto" w:fill="ffffff"/>
          <w:rtl w:val="0"/>
          <w14:textFill>
            <w14:solidFill>
              <w14:srgbClr w14:val="212529"/>
            </w14:solidFill>
          </w14:textFill>
        </w:rPr>
        <w:t xml:space="preserve"> </w:t>
      </w: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r>
        <w:rPr>
          <w:rFonts w:ascii="Arial" w:hAnsi="Arial"/>
          <w:outline w:val="0"/>
          <w:color w:val="212529"/>
          <w:shd w:val="clear" w:color="auto" w:fill="ffffff"/>
          <w:rtl w:val="0"/>
          <w:lang w:val="en-US"/>
          <w14:textFill>
            <w14:solidFill>
              <w14:srgbClr w14:val="212529"/>
            </w14:solidFill>
          </w14:textFill>
        </w:rPr>
        <w:t xml:space="preserve">This correlation between neurodivergence and physical illness can be evidenced across a range of neurodivergent conditions.  For example, a </w:t>
      </w:r>
      <w:r>
        <w:rPr>
          <w:rFonts w:ascii="Arial" w:hAnsi="Arial"/>
          <w:outline w:val="0"/>
          <w:color w:val="212529"/>
          <w:shd w:val="clear" w:color="auto" w:fill="ffffff"/>
          <w:rtl w:val="0"/>
          <w:lang w:val="en-US"/>
          <w14:textFill>
            <w14:solidFill>
              <w14:srgbClr w14:val="212529"/>
            </w14:solidFill>
          </w14:textFill>
        </w:rPr>
        <w:t>relationship between intestinal dysbiosis and the occurrence of asthma in children with ADHD has now been established</w:t>
      </w:r>
      <w:r>
        <w:rPr>
          <w:rFonts w:ascii="Arial" w:hAnsi="Arial"/>
          <w:outline w:val="0"/>
          <w:color w:val="212529"/>
          <w:shd w:val="clear" w:color="auto" w:fill="ffffff"/>
          <w:rtl w:val="0"/>
          <w:lang w:val="en-US"/>
          <w14:textFill>
            <w14:solidFill>
              <w14:srgbClr w14:val="212529"/>
            </w14:solidFill>
          </w14:textFill>
        </w:rPr>
        <w:t xml:space="preserve"> (Salameh </w:t>
      </w:r>
      <w:r>
        <w:rPr>
          <w:rFonts w:ascii="Arial" w:hAnsi="Arial"/>
          <w:outline w:val="0"/>
          <w:color w:val="212529"/>
          <w:shd w:val="clear" w:color="auto" w:fill="ffffff"/>
          <w:rtl w:val="0"/>
          <w14:textFill>
            <w14:solidFill>
              <w14:srgbClr w14:val="212529"/>
            </w14:solidFill>
          </w14:textFill>
        </w:rPr>
        <w:t>et al.,</w:t>
      </w:r>
      <w:r>
        <w:rPr>
          <w:rFonts w:ascii="Arial" w:hAnsi="Arial"/>
          <w:outline w:val="0"/>
          <w:color w:val="212529"/>
          <w:shd w:val="clear" w:color="auto" w:fill="ffffff"/>
          <w:rtl w:val="0"/>
          <w:lang w:val="en-US"/>
          <w14:textFill>
            <w14:solidFill>
              <w14:srgbClr w14:val="212529"/>
            </w14:solidFill>
          </w14:textFill>
        </w:rPr>
        <w:t xml:space="preserve"> 2020). </w:t>
      </w:r>
      <w:r>
        <w:rPr>
          <w:rFonts w:ascii="Arial" w:hAnsi="Arial"/>
          <w:outline w:val="0"/>
          <w:color w:val="212529"/>
          <w:shd w:val="clear" w:color="auto" w:fill="ffffff"/>
          <w:rtl w:val="0"/>
          <w:lang w:val="de-DE"/>
          <w14:textFill>
            <w14:solidFill>
              <w14:srgbClr w14:val="212529"/>
            </w14:solidFill>
          </w14:textFill>
        </w:rPr>
        <w:t xml:space="preserve"> Ehlers-Danlos </w:t>
      </w:r>
      <w:r>
        <w:rPr>
          <w:rFonts w:ascii="Arial" w:hAnsi="Arial"/>
          <w:outline w:val="0"/>
          <w:color w:val="212529"/>
          <w:shd w:val="clear" w:color="auto" w:fill="ffffff"/>
          <w:rtl w:val="0"/>
          <w:lang w:val="en-US"/>
          <w14:textFill>
            <w14:solidFill>
              <w14:srgbClr w14:val="212529"/>
            </w14:solidFill>
          </w14:textFill>
        </w:rPr>
        <w:t>Syndrome has been demonstrated to be linked</w:t>
      </w:r>
      <w:r>
        <w:rPr>
          <w:rFonts w:ascii="Arial" w:hAnsi="Arial"/>
          <w:outline w:val="0"/>
          <w:color w:val="212529"/>
          <w:shd w:val="clear" w:color="auto" w:fill="ffffff"/>
          <w:rtl w:val="0"/>
          <w:lang w:val="en-US"/>
          <w14:textFill>
            <w14:solidFill>
              <w14:srgbClr w14:val="212529"/>
            </w14:solidFill>
          </w14:textFill>
        </w:rPr>
        <w:t xml:space="preserve"> to both autism and ADHD</w:t>
      </w:r>
      <w:r>
        <w:rPr>
          <w:rFonts w:ascii="Arial" w:hAnsi="Arial"/>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14:textFill>
            <w14:solidFill>
              <w14:srgbClr w14:val="212529"/>
            </w14:solidFill>
          </w14:textFill>
        </w:rPr>
        <w:t>Csecs</w:t>
      </w:r>
      <w:r>
        <w:rPr>
          <w:rFonts w:ascii="Arial" w:hAnsi="Arial"/>
          <w:outline w:val="0"/>
          <w:color w:val="212529"/>
          <w:shd w:val="clear" w:color="auto" w:fill="ffffff"/>
          <w:rtl w:val="0"/>
          <w:lang w:val="en-US"/>
          <w14:textFill>
            <w14:solidFill>
              <w14:srgbClr w14:val="212529"/>
            </w14:solidFill>
          </w14:textFill>
        </w:rPr>
        <w:t xml:space="preserve"> </w:t>
      </w:r>
      <w:r>
        <w:rPr>
          <w:rFonts w:ascii="Arial" w:hAnsi="Arial"/>
          <w:outline w:val="0"/>
          <w:color w:val="212529"/>
          <w:shd w:val="clear" w:color="auto" w:fill="ffffff"/>
          <w:rtl w:val="0"/>
          <w14:textFill>
            <w14:solidFill>
              <w14:srgbClr w14:val="212529"/>
            </w14:solidFill>
          </w14:textFill>
        </w:rPr>
        <w:t>et al.,</w:t>
      </w:r>
      <w:r>
        <w:rPr>
          <w:rFonts w:ascii="Arial" w:hAnsi="Arial"/>
          <w:outline w:val="0"/>
          <w:color w:val="212529"/>
          <w:shd w:val="clear" w:color="auto" w:fill="ffffff"/>
          <w:rtl w:val="0"/>
          <w:lang w:val="en-US"/>
          <w14:textFill>
            <w14:solidFill>
              <w14:srgbClr w14:val="212529"/>
            </w14:solidFill>
          </w14:textFill>
        </w:rPr>
        <w:t xml:space="preserve"> 2022). It is also well-established that traumatic</w:t>
      </w:r>
      <w:r>
        <w:rPr>
          <w:rFonts w:ascii="Arial" w:hAnsi="Arial"/>
          <w:outline w:val="0"/>
          <w:color w:val="212529"/>
          <w:shd w:val="clear" w:color="auto" w:fill="ffffff"/>
          <w:rtl w:val="0"/>
          <w:lang w:val="en-US"/>
          <w14:textFill>
            <w14:solidFill>
              <w14:srgbClr w14:val="212529"/>
            </w14:solidFill>
          </w14:textFill>
        </w:rPr>
        <w:t xml:space="preserve"> childhood experiences can adversely affect health </w:t>
      </w:r>
      <w:r>
        <w:rPr>
          <w:rFonts w:ascii="Arial" w:hAnsi="Arial"/>
          <w:outline w:val="0"/>
          <w:color w:val="212529"/>
          <w:shd w:val="clear" w:color="auto" w:fill="ffffff"/>
          <w:rtl w:val="0"/>
          <w:lang w:val="en-US"/>
          <w14:textFill>
            <w14:solidFill>
              <w14:srgbClr w14:val="212529"/>
            </w14:solidFill>
          </w14:textFill>
        </w:rPr>
        <w:t>(Rigles, 2017)</w:t>
      </w:r>
      <w:r>
        <w:rPr>
          <w:rFonts w:ascii="Arial" w:hAnsi="Arial"/>
          <w:outline w:val="0"/>
          <w:color w:val="212529"/>
          <w:shd w:val="clear" w:color="auto" w:fill="ffffff"/>
          <w:rtl w:val="0"/>
          <w:lang w:val="en-US"/>
          <w14:textFill>
            <w14:solidFill>
              <w14:srgbClr w14:val="212529"/>
            </w14:solidFill>
          </w14:textFill>
        </w:rPr>
        <w:t xml:space="preserve"> and </w:t>
      </w:r>
      <w:r>
        <w:rPr>
          <w:rFonts w:ascii="Arial" w:hAnsi="Arial"/>
          <w:outline w:val="0"/>
          <w:color w:val="212529"/>
          <w:shd w:val="clear" w:color="auto" w:fill="ffffff"/>
          <w:rtl w:val="0"/>
          <w:lang w:val="en-US"/>
          <w14:textFill>
            <w14:solidFill>
              <w14:srgbClr w14:val="212529"/>
            </w14:solidFill>
          </w14:textFill>
        </w:rPr>
        <w:t>that female autistics appear to be more frequently affected by this</w:t>
      </w:r>
      <w:r>
        <w:rPr>
          <w:rFonts w:ascii="Arial" w:hAnsi="Arial"/>
          <w:outline w:val="0"/>
          <w:color w:val="212529"/>
          <w:shd w:val="clear" w:color="auto" w:fill="ffffff"/>
          <w:rtl w:val="0"/>
          <w14:textFill>
            <w14:solidFill>
              <w14:srgbClr w14:val="212529"/>
            </w14:solidFill>
          </w14:textFill>
        </w:rPr>
        <w:t xml:space="preserve"> </w:t>
      </w:r>
      <w:r>
        <w:rPr>
          <w:rFonts w:ascii="Arial" w:hAnsi="Arial"/>
          <w:outline w:val="0"/>
          <w:color w:val="212529"/>
          <w:shd w:val="clear" w:color="auto" w:fill="ffffff"/>
          <w:rtl w:val="0"/>
          <w:lang w:val="en-US"/>
          <w14:textFill>
            <w14:solidFill>
              <w14:srgbClr w14:val="212529"/>
            </w14:solidFill>
          </w14:textFill>
        </w:rPr>
        <w:t>(G</w:t>
      </w:r>
      <w:r>
        <w:rPr>
          <w:rFonts w:ascii="Arial" w:hAnsi="Arial"/>
          <w:outline w:val="0"/>
          <w:color w:val="212529"/>
          <w:shd w:val="clear" w:color="auto" w:fill="ffffff"/>
          <w:rtl w:val="0"/>
          <w:lang w:val="fr-FR"/>
          <w14:textFill>
            <w14:solidFill>
              <w14:srgbClr w14:val="212529"/>
            </w14:solidFill>
          </w14:textFill>
        </w:rPr>
        <w:t>riffiths et al., 2019</w:t>
      </w:r>
      <w:r>
        <w:rPr>
          <w:rFonts w:ascii="Arial" w:hAnsi="Arial"/>
          <w:outline w:val="0"/>
          <w:color w:val="212529"/>
          <w:shd w:val="clear" w:color="auto" w:fill="ffffff"/>
          <w:rtl w:val="0"/>
          <w:lang w:val="en-US"/>
          <w14:textFill>
            <w14:solidFill>
              <w14:srgbClr w14:val="212529"/>
            </w14:solidFill>
          </w14:textFill>
        </w:rPr>
        <w:t xml:space="preserve">).  </w:t>
      </w:r>
    </w:p>
    <w:p>
      <w:pPr>
        <w:pStyle w:val="Default"/>
        <w:bidi w:val="0"/>
        <w:spacing w:before="0" w:after="240" w:line="480" w:lineRule="auto"/>
        <w:ind w:left="0" w:right="0" w:firstLine="0"/>
        <w:jc w:val="both"/>
        <w:rPr>
          <w:rFonts w:ascii="Arial" w:cs="Arial" w:hAnsi="Arial" w:eastAsia="Arial"/>
          <w:outline w:val="0"/>
          <w:color w:val="212529"/>
          <w:shd w:val="clear" w:color="auto" w:fill="ffffff"/>
          <w:rtl w:val="0"/>
          <w14:textFill>
            <w14:solidFill>
              <w14:srgbClr w14:val="212529"/>
            </w14:solidFill>
          </w14:textFill>
        </w:rPr>
      </w:pPr>
      <w:r>
        <w:rPr>
          <w:rFonts w:ascii="Arial" w:hAnsi="Arial"/>
          <w:outline w:val="0"/>
          <w:color w:val="212529"/>
          <w:shd w:val="clear" w:color="auto" w:fill="ffffff"/>
          <w:rtl w:val="0"/>
          <w:lang w:val="en-US"/>
          <w14:textFill>
            <w14:solidFill>
              <w14:srgbClr w14:val="212529"/>
            </w14:solidFill>
          </w14:textFill>
        </w:rPr>
        <w:t xml:space="preserve">Given the above examples, of which there are many more, a discussion of which is outside the scope of this assignment, but is covered in some detail by Kelly </w:t>
      </w:r>
      <w:r>
        <w:rPr>
          <w:rFonts w:ascii="Arial" w:hAnsi="Arial"/>
          <w:outline w:val="0"/>
          <w:color w:val="212529"/>
          <w:shd w:val="clear" w:color="auto" w:fill="ffffff"/>
          <w:rtl w:val="0"/>
          <w14:textFill>
            <w14:solidFill>
              <w14:srgbClr w14:val="212529"/>
            </w14:solidFill>
          </w14:textFill>
        </w:rPr>
        <w:t>et al.,</w:t>
      </w:r>
      <w:r>
        <w:rPr>
          <w:rFonts w:ascii="Arial" w:hAnsi="Arial"/>
          <w:outline w:val="0"/>
          <w:color w:val="212529"/>
          <w:shd w:val="clear" w:color="auto" w:fill="ffffff"/>
          <w:rtl w:val="0"/>
          <w:lang w:val="en-US"/>
          <w14:textFill>
            <w14:solidFill>
              <w14:srgbClr w14:val="212529"/>
            </w14:solidFill>
          </w14:textFill>
        </w:rPr>
        <w:t xml:space="preserve"> (2023), it would be negligent to consider either condition individually if the aim was to improve outcomes for either disorder; and by ignoring the gender differences, we will only learn how females compare to a male standard, failing to correct the stereotypes that are still apparent in the medical fields about women</w:t>
      </w:r>
      <w:r>
        <w:rPr>
          <w:rFonts w:ascii="Arial" w:hAnsi="Arial" w:hint="default"/>
          <w:outline w:val="0"/>
          <w:color w:val="212529"/>
          <w:shd w:val="clear" w:color="auto" w:fill="ffffff"/>
          <w:rtl w:val="0"/>
          <w:lang w:val="en-US"/>
          <w14:textFill>
            <w14:solidFill>
              <w14:srgbClr w14:val="212529"/>
            </w14:solidFill>
          </w14:textFill>
        </w:rPr>
        <w:t>’</w:t>
      </w:r>
      <w:r>
        <w:rPr>
          <w:rFonts w:ascii="Arial" w:hAnsi="Arial"/>
          <w:outline w:val="0"/>
          <w:color w:val="212529"/>
          <w:shd w:val="clear" w:color="auto" w:fill="ffffff"/>
          <w:rtl w:val="0"/>
          <w:lang w:val="en-US"/>
          <w14:textFill>
            <w14:solidFill>
              <w14:srgbClr w14:val="212529"/>
            </w14:solidFill>
          </w14:textFill>
        </w:rPr>
        <w:t>s biology in health and disease, which is problematic because women have been identified as more likely to suffer adverse effects of new therapies compared to men</w:t>
      </w:r>
      <w:r>
        <w:rPr>
          <w:rFonts w:ascii="Arial" w:hAnsi="Arial"/>
          <w:outline w:val="0"/>
          <w:color w:val="212529"/>
          <w:shd w:val="clear" w:color="auto" w:fill="ffffff"/>
          <w:rtl w:val="0"/>
          <w14:textFill>
            <w14:solidFill>
              <w14:srgbClr w14:val="212529"/>
            </w14:solidFill>
          </w14:textFill>
        </w:rPr>
        <w:t xml:space="preserve"> (Galea et al., 2023)</w:t>
      </w:r>
      <w:r>
        <w:rPr>
          <w:rFonts w:ascii="Arial" w:hAnsi="Arial"/>
          <w:outline w:val="0"/>
          <w:color w:val="212529"/>
          <w:shd w:val="clear" w:color="auto" w:fill="ffffff"/>
          <w:rtl w:val="0"/>
          <w:lang w:val="en-US"/>
          <w14:textFill>
            <w14:solidFill>
              <w14:srgbClr w14:val="212529"/>
            </w14:solidFill>
          </w14:textFill>
        </w:rPr>
        <w:t>.</w:t>
      </w:r>
    </w:p>
    <w:p>
      <w:pPr>
        <w:pStyle w:val="Body"/>
        <w:spacing w:line="480" w:lineRule="auto"/>
        <w:jc w:val="both"/>
        <w:rPr>
          <w:rFonts w:ascii="Arial" w:cs="Arial" w:hAnsi="Arial" w:eastAsia="Arial"/>
          <w:sz w:val="24"/>
          <w:szCs w:val="24"/>
        </w:rPr>
      </w:pPr>
      <w:r>
        <w:rPr>
          <w:rFonts w:ascii="Arial" w:hAnsi="Arial"/>
          <w:sz w:val="24"/>
          <w:szCs w:val="24"/>
          <w:rtl w:val="0"/>
          <w:lang w:val="en-US"/>
        </w:rPr>
        <w:t>Preventative measures are also different for women than men. It is an important sex difference that aspirin has been shown to prevent ischemic strokes in women, but not men (</w:t>
      </w:r>
      <w:r>
        <w:rPr>
          <w:rFonts w:ascii="Arial" w:hAnsi="Arial"/>
          <w:sz w:val="24"/>
          <w:szCs w:val="24"/>
          <w:rtl w:val="0"/>
        </w:rPr>
        <w:t>Gdovinova</w:t>
      </w:r>
      <w:r>
        <w:rPr>
          <w:rFonts w:ascii="Arial" w:hAnsi="Arial"/>
          <w:sz w:val="24"/>
          <w:szCs w:val="24"/>
          <w:rtl w:val="0"/>
          <w:lang w:val="en-US"/>
        </w:rPr>
        <w:t xml:space="preserve"> </w:t>
      </w:r>
      <w:r>
        <w:rPr>
          <w:rFonts w:ascii="Arial" w:hAnsi="Arial"/>
          <w:sz w:val="24"/>
          <w:szCs w:val="24"/>
          <w:rtl w:val="0"/>
        </w:rPr>
        <w:t>et al.,</w:t>
      </w:r>
      <w:r>
        <w:rPr>
          <w:rFonts w:ascii="Arial" w:hAnsi="Arial"/>
          <w:sz w:val="24"/>
          <w:szCs w:val="24"/>
          <w:rtl w:val="0"/>
          <w:lang w:val="en-US"/>
        </w:rPr>
        <w:t xml:space="preserve"> 2022). It's therefore possible that medications for ADHD aimed at supporting men may have a different impact on women (Kok </w:t>
      </w:r>
      <w:r>
        <w:rPr>
          <w:rFonts w:ascii="Arial" w:hAnsi="Arial"/>
          <w:sz w:val="24"/>
          <w:szCs w:val="24"/>
          <w:rtl w:val="0"/>
        </w:rPr>
        <w:t>et al.,</w:t>
      </w:r>
      <w:r>
        <w:rPr>
          <w:rFonts w:ascii="Arial" w:hAnsi="Arial"/>
          <w:sz w:val="24"/>
          <w:szCs w:val="24"/>
          <w:rtl w:val="0"/>
          <w:lang w:val="en-US"/>
        </w:rPr>
        <w:t xml:space="preserve"> 2020).</w:t>
      </w: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r>
        <w:rPr>
          <w:rFonts w:ascii="Arial" w:hAnsi="Arial"/>
          <w:sz w:val="24"/>
          <w:szCs w:val="24"/>
          <w:rtl w:val="0"/>
          <w:lang w:val="en-US"/>
        </w:rPr>
        <w:t>The evidence to date suggests that when researchers do focus on women</w:t>
      </w:r>
      <w:r>
        <w:rPr>
          <w:rFonts w:ascii="Arial" w:hAnsi="Arial" w:hint="default"/>
          <w:sz w:val="24"/>
          <w:szCs w:val="24"/>
          <w:rtl w:val="0"/>
          <w:lang w:val="en-US"/>
        </w:rPr>
        <w:t>’</w:t>
      </w:r>
      <w:r>
        <w:rPr>
          <w:rFonts w:ascii="Arial" w:hAnsi="Arial"/>
          <w:sz w:val="24"/>
          <w:szCs w:val="24"/>
          <w:rtl w:val="0"/>
          <w:lang w:val="en-US"/>
        </w:rPr>
        <w:t xml:space="preserve">s biology we have learned that for example, hormones and life events that impact female hormones (contraception, pregnancy, menarche, menopause etc.) can have temporary </w:t>
      </w:r>
      <w:r>
        <w:rPr>
          <w:rFonts w:ascii="Arial" w:hAnsi="Arial"/>
          <w:i w:val="1"/>
          <w:iCs w:val="1"/>
          <w:sz w:val="24"/>
          <w:szCs w:val="24"/>
          <w:rtl w:val="0"/>
          <w:lang w:val="en-US"/>
        </w:rPr>
        <w:t>and enduring</w:t>
      </w:r>
      <w:r>
        <w:rPr>
          <w:rFonts w:ascii="Arial" w:hAnsi="Arial"/>
          <w:sz w:val="24"/>
          <w:szCs w:val="24"/>
          <w:rtl w:val="0"/>
          <w:lang w:val="en-US"/>
        </w:rPr>
        <w:t xml:space="preserve"> effects on health for neurodivergent females (Moseley </w:t>
      </w:r>
      <w:r>
        <w:rPr>
          <w:rFonts w:ascii="Arial" w:hAnsi="Arial"/>
          <w:sz w:val="24"/>
          <w:szCs w:val="24"/>
          <w:rtl w:val="0"/>
        </w:rPr>
        <w:t>et al.,</w:t>
      </w:r>
      <w:r>
        <w:rPr>
          <w:rFonts w:ascii="Arial" w:hAnsi="Arial"/>
          <w:sz w:val="24"/>
          <w:szCs w:val="24"/>
          <w:rtl w:val="0"/>
          <w:lang w:val="en-US"/>
        </w:rPr>
        <w:t xml:space="preserve"> 2020, Steward </w:t>
      </w:r>
      <w:r>
        <w:rPr>
          <w:rFonts w:ascii="Arial" w:hAnsi="Arial"/>
          <w:sz w:val="24"/>
          <w:szCs w:val="24"/>
          <w:rtl w:val="0"/>
        </w:rPr>
        <w:t>et al.,</w:t>
      </w:r>
      <w:r>
        <w:rPr>
          <w:rFonts w:ascii="Arial" w:hAnsi="Arial"/>
          <w:sz w:val="24"/>
          <w:szCs w:val="24"/>
          <w:rtl w:val="0"/>
          <w:lang w:val="en-US"/>
        </w:rPr>
        <w:t xml:space="preserve"> 2020).</w:t>
      </w: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r>
        <w:rPr>
          <w:rFonts w:ascii="Arial" w:hAnsi="Arial"/>
          <w:sz w:val="24"/>
          <w:szCs w:val="24"/>
          <w:rtl w:val="0"/>
          <w:lang w:val="en-US"/>
        </w:rPr>
        <w:t>The role of hormones should not be underestimated.  They have been demonstrated to impact and interact with almost every part of the body, but particularly when considering neurodivergence, the impact on the brain is significant, and hormones are a contributory factor within the age-old discussion around differences in the male and female brains which is once again a hot topic.</w:t>
      </w:r>
    </w:p>
    <w:p>
      <w:pPr>
        <w:pStyle w:val="Body"/>
        <w:spacing w:line="480" w:lineRule="auto"/>
        <w:jc w:val="both"/>
        <w:rPr>
          <w:rFonts w:ascii="Arial" w:cs="Arial" w:hAnsi="Arial" w:eastAsia="Arial"/>
          <w:sz w:val="24"/>
          <w:szCs w:val="24"/>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en-US"/>
          <w14:textFill>
            <w14:solidFill>
              <w14:srgbClr w14:val="222222"/>
            </w14:solidFill>
          </w14:textFill>
        </w:rPr>
        <w:t xml:space="preserve">This is because there is increasing recognition that </w:t>
      </w:r>
      <w:r>
        <w:rPr>
          <w:rFonts w:ascii="Arial" w:hAnsi="Arial"/>
          <w:outline w:val="0"/>
          <w:color w:val="222222"/>
          <w:shd w:val="clear" w:color="auto" w:fill="ffffff"/>
          <w:rtl w:val="0"/>
          <w:lang w:val="en-US"/>
          <w14:textFill>
            <w14:solidFill>
              <w14:srgbClr w14:val="222222"/>
            </w14:solidFill>
          </w14:textFill>
        </w:rPr>
        <w:t xml:space="preserve">many neuropsychiatric disorders </w:t>
      </w:r>
      <w:r>
        <w:rPr>
          <w:rFonts w:ascii="Arial" w:hAnsi="Arial"/>
          <w:outline w:val="0"/>
          <w:color w:val="222222"/>
          <w:shd w:val="clear" w:color="auto" w:fill="ffffff"/>
          <w:rtl w:val="0"/>
          <w:lang w:val="en-US"/>
          <w14:textFill>
            <w14:solidFill>
              <w14:srgbClr w14:val="222222"/>
            </w14:solidFill>
          </w14:textFill>
        </w:rPr>
        <w:t>differ</w:t>
      </w:r>
      <w:r>
        <w:rPr>
          <w:rFonts w:ascii="Arial" w:hAnsi="Arial"/>
          <w:outline w:val="0"/>
          <w:color w:val="222222"/>
          <w:shd w:val="clear" w:color="auto" w:fill="ffffff"/>
          <w:rtl w:val="0"/>
          <w:lang w:val="en-US"/>
          <w14:textFill>
            <w14:solidFill>
              <w14:srgbClr w14:val="222222"/>
            </w14:solidFill>
          </w14:textFill>
        </w:rPr>
        <w:t xml:space="preserve"> in frequency, severity, or response to treatment</w:t>
      </w:r>
      <w:r>
        <w:rPr>
          <w:rFonts w:ascii="Arial" w:hAnsi="Arial"/>
          <w:outline w:val="0"/>
          <w:color w:val="222222"/>
          <w:shd w:val="clear" w:color="auto" w:fill="ffffff"/>
          <w:rtl w:val="0"/>
          <w:lang w:val="en-US"/>
          <w14:textFill>
            <w14:solidFill>
              <w14:srgbClr w14:val="222222"/>
            </w14:solidFill>
          </w14:textFill>
        </w:rPr>
        <w:t xml:space="preserve"> dependent on biological sex, therefore u</w:t>
      </w:r>
      <w:r>
        <w:rPr>
          <w:rFonts w:ascii="Arial" w:hAnsi="Arial"/>
          <w:outline w:val="0"/>
          <w:color w:val="222222"/>
          <w:shd w:val="clear" w:color="auto" w:fill="ffffff"/>
          <w:rtl w:val="0"/>
          <w:lang w:val="en-US"/>
          <w14:textFill>
            <w14:solidFill>
              <w14:srgbClr w14:val="222222"/>
            </w14:solidFill>
          </w14:textFill>
        </w:rPr>
        <w:t>nderstanding the m</w:t>
      </w:r>
      <w:r>
        <w:rPr>
          <w:rFonts w:ascii="Arial" w:hAnsi="Arial"/>
          <w:outline w:val="0"/>
          <w:color w:val="222222"/>
          <w:shd w:val="clear" w:color="auto" w:fill="ffffff"/>
          <w:rtl w:val="0"/>
          <w:lang w:val="en-US"/>
          <w14:textFill>
            <w14:solidFill>
              <w14:srgbClr w14:val="222222"/>
            </w14:solidFill>
          </w14:textFill>
        </w:rPr>
        <w:t>osaic</w:t>
      </w:r>
      <w:r>
        <w:rPr>
          <w:rFonts w:ascii="Arial" w:hAnsi="Arial"/>
          <w:outline w:val="0"/>
          <w:color w:val="222222"/>
          <w:shd w:val="clear" w:color="auto" w:fill="ffffff"/>
          <w:rtl w:val="0"/>
          <w14:textFill>
            <w14:solidFill>
              <w14:srgbClr w14:val="222222"/>
            </w14:solidFill>
          </w14:textFill>
        </w:rPr>
        <w:t xml:space="preserve"> </w:t>
      </w:r>
      <w:r>
        <w:rPr>
          <w:rFonts w:ascii="Arial" w:hAnsi="Arial"/>
          <w:outline w:val="0"/>
          <w:color w:val="222222"/>
          <w:shd w:val="clear" w:color="auto" w:fill="ffffff"/>
          <w:rtl w:val="0"/>
          <w:lang w:val="en-US"/>
          <w14:textFill>
            <w14:solidFill>
              <w14:srgbClr w14:val="222222"/>
            </w14:solidFill>
          </w14:textFill>
        </w:rPr>
        <w:t xml:space="preserve">effect (Joel and McCarthy 2017) </w:t>
      </w:r>
      <w:r>
        <w:rPr>
          <w:rFonts w:ascii="Arial" w:hAnsi="Arial"/>
          <w:outline w:val="0"/>
          <w:color w:val="222222"/>
          <w:shd w:val="clear" w:color="auto" w:fill="ffffff"/>
          <w:rtl w:val="0"/>
          <w:lang w:val="en-US"/>
          <w14:textFill>
            <w14:solidFill>
              <w14:srgbClr w14:val="222222"/>
            </w14:solidFill>
          </w14:textFill>
        </w:rPr>
        <w:t>in which sex can alter the brain</w:t>
      </w:r>
      <w:r>
        <w:rPr>
          <w:rFonts w:ascii="Arial" w:hAnsi="Arial"/>
          <w:outline w:val="0"/>
          <w:color w:val="222222"/>
          <w:shd w:val="clear" w:color="auto" w:fill="ffffff"/>
          <w:rtl w:val="0"/>
          <w:lang w:val="en-US"/>
          <w14:textFill>
            <w14:solidFill>
              <w14:srgbClr w14:val="222222"/>
            </w14:solidFill>
          </w14:textFill>
        </w:rPr>
        <w:t xml:space="preserve"> is important as this may impact more than just the female brains response to pharmacological interventions but may have implications in the suitability and response to psychosocial treatments also (Rucklidge 2008, </w:t>
      </w:r>
      <w:r>
        <w:rPr>
          <w:rFonts w:ascii="Arial" w:hAnsi="Arial"/>
          <w:outline w:val="0"/>
          <w:color w:val="222222"/>
          <w:shd w:val="clear" w:color="auto" w:fill="ffffff"/>
          <w:rtl w:val="0"/>
          <w:lang w:val="it-IT"/>
          <w14:textFill>
            <w14:solidFill>
              <w14:srgbClr w14:val="222222"/>
            </w14:solidFill>
          </w14:textFill>
        </w:rPr>
        <w:t>Fraticelli</w:t>
      </w:r>
      <w:r>
        <w:rPr>
          <w:rFonts w:ascii="Arial" w:hAnsi="Arial"/>
          <w:outline w:val="0"/>
          <w:color w:val="222222"/>
          <w:shd w:val="clear" w:color="auto" w:fill="ffffff"/>
          <w:rtl w:val="0"/>
          <w:lang w:val="en-US"/>
          <w14:textFill>
            <w14:solidFill>
              <w14:srgbClr w14:val="222222"/>
            </w14:solidFill>
          </w14:textFill>
        </w:rPr>
        <w:t xml:space="preserve"> </w:t>
      </w:r>
      <w:r>
        <w:rPr>
          <w:rFonts w:ascii="Arial" w:hAnsi="Arial"/>
          <w:outline w:val="0"/>
          <w:color w:val="222222"/>
          <w:shd w:val="clear" w:color="auto" w:fill="ffffff"/>
          <w:rtl w:val="0"/>
          <w14:textFill>
            <w14:solidFill>
              <w14:srgbClr w14:val="222222"/>
            </w14:solidFill>
          </w14:textFill>
        </w:rPr>
        <w:t>et al.,</w:t>
      </w:r>
      <w:r>
        <w:rPr>
          <w:rFonts w:ascii="Arial" w:hAnsi="Arial"/>
          <w:outline w:val="0"/>
          <w:color w:val="222222"/>
          <w:shd w:val="clear" w:color="auto" w:fill="ffffff"/>
          <w:rtl w:val="0"/>
          <w:lang w:val="en-US"/>
          <w14:textFill>
            <w14:solidFill>
              <w14:srgbClr w14:val="222222"/>
            </w14:solidFill>
          </w14:textFill>
        </w:rPr>
        <w:t xml:space="preserve"> 2022).</w:t>
      </w: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r>
        <w:rPr>
          <w:rFonts w:ascii="Arial" w:hAnsi="Arial"/>
          <w:sz w:val="24"/>
          <w:szCs w:val="24"/>
          <w:rtl w:val="0"/>
          <w:lang w:val="en-US"/>
        </w:rPr>
        <w:t xml:space="preserve">In furthering answering the second part of the question at hand: which group would the author donate the funds to, again the author suggests that to ensure that research on females was comprehensive, the author would consider setting up an independent charity to dispense grant funding upon scrutinisation of applications because as yet, attempts to address the gender and sex discrepancy in research in and ultimately female healthcare have been dismally ineffective.  In 1993 the National Institute for Health Research (NIHR)  </w:t>
      </w:r>
      <w:r>
        <w:rPr>
          <w:rFonts w:ascii="Arial" w:hAnsi="Arial"/>
          <w:sz w:val="24"/>
          <w:szCs w:val="24"/>
          <w:rtl w:val="0"/>
          <w:lang w:val="en-US"/>
        </w:rPr>
        <w:t>(Board on Population Health, 2010)</w:t>
      </w:r>
      <w:r>
        <w:rPr>
          <w:rFonts w:ascii="Arial" w:hAnsi="Arial"/>
          <w:sz w:val="24"/>
          <w:szCs w:val="24"/>
          <w:rtl w:val="0"/>
          <w:lang w:val="en-US"/>
        </w:rPr>
        <w:t xml:space="preserve"> were the first to mandate incorporating biological sex into research and clinical trials and expanded this to include biological sex as a variable (SABV) in biomedical research in 2016 </w:t>
      </w:r>
      <w:r>
        <w:rPr>
          <w:rFonts w:ascii="Arial" w:hAnsi="Arial"/>
          <w:sz w:val="24"/>
          <w:szCs w:val="24"/>
          <w:rtl w:val="0"/>
        </w:rPr>
        <w:t>(Galea et al., 2023)</w:t>
      </w:r>
      <w:r>
        <w:rPr>
          <w:rFonts w:ascii="Arial" w:hAnsi="Arial"/>
          <w:sz w:val="24"/>
          <w:szCs w:val="24"/>
          <w:rtl w:val="0"/>
          <w:lang w:val="en-US"/>
        </w:rPr>
        <w:t xml:space="preserve">.  However,  </w:t>
      </w:r>
      <w:r>
        <w:rPr>
          <w:rFonts w:ascii="Arial" w:hAnsi="Arial"/>
          <w:sz w:val="24"/>
          <w:szCs w:val="24"/>
          <w:rtl w:val="0"/>
          <w:lang w:val="en-US"/>
        </w:rPr>
        <w:t xml:space="preserve">Government mandates are </w:t>
      </w:r>
      <w:r>
        <w:rPr>
          <w:rFonts w:ascii="Arial" w:hAnsi="Arial"/>
          <w:sz w:val="24"/>
          <w:szCs w:val="24"/>
          <w:rtl w:val="0"/>
          <w:lang w:val="en-US"/>
        </w:rPr>
        <w:t>proving ineffective,</w:t>
      </w:r>
      <w:r>
        <w:rPr>
          <w:rFonts w:ascii="Arial" w:hAnsi="Arial"/>
          <w:sz w:val="24"/>
          <w:szCs w:val="24"/>
          <w:rtl w:val="0"/>
          <w:lang w:val="en-US"/>
        </w:rPr>
        <w:t xml:space="preserve"> or the evidence produced </w:t>
      </w:r>
      <w:r>
        <w:rPr>
          <w:rFonts w:ascii="Arial" w:hAnsi="Arial"/>
          <w:sz w:val="24"/>
          <w:szCs w:val="24"/>
          <w:rtl w:val="0"/>
          <w:lang w:val="en-US"/>
        </w:rPr>
        <w:t>doe</w:t>
      </w:r>
      <w:r>
        <w:rPr>
          <w:rFonts w:ascii="Arial" w:hAnsi="Arial"/>
          <w:sz w:val="24"/>
          <w:szCs w:val="24"/>
          <w:rtl w:val="0"/>
          <w:lang w:val="en-US"/>
        </w:rPr>
        <w:t xml:space="preserve">s not </w:t>
      </w:r>
      <w:r>
        <w:rPr>
          <w:rFonts w:ascii="Arial" w:hAnsi="Arial"/>
          <w:sz w:val="24"/>
          <w:szCs w:val="24"/>
          <w:rtl w:val="0"/>
          <w:lang w:val="en-US"/>
        </w:rPr>
        <w:t xml:space="preserve">demonstrate sex differences adequately possibly as there is no consensus as to how mandates are to be interpreted.  For example, </w:t>
      </w:r>
      <w:r>
        <w:rPr>
          <w:rFonts w:ascii="Arial" w:hAnsi="Arial"/>
          <w:sz w:val="24"/>
          <w:szCs w:val="24"/>
          <w:rtl w:val="0"/>
          <w:lang w:val="en-US"/>
        </w:rPr>
        <w:t xml:space="preserve">in a survey of research in Neuroscience and Psychiatry, only 40% of studies over the last 10 years </w:t>
      </w:r>
      <w:r>
        <w:rPr>
          <w:rFonts w:ascii="Arial" w:hAnsi="Arial"/>
          <w:sz w:val="24"/>
          <w:szCs w:val="24"/>
          <w:rtl w:val="0"/>
          <w:lang w:val="en-US"/>
        </w:rPr>
        <w:t xml:space="preserve">were demonstrated as having </w:t>
      </w:r>
      <w:r>
        <w:rPr>
          <w:rFonts w:ascii="Arial" w:hAnsi="Arial"/>
          <w:sz w:val="24"/>
          <w:szCs w:val="24"/>
          <w:rtl w:val="0"/>
        </w:rPr>
        <w:t>analy</w:t>
      </w:r>
      <w:r>
        <w:rPr>
          <w:rFonts w:ascii="Arial" w:hAnsi="Arial"/>
          <w:sz w:val="24"/>
          <w:szCs w:val="24"/>
          <w:rtl w:val="0"/>
          <w:lang w:val="en-US"/>
        </w:rPr>
        <w:t>s</w:t>
      </w:r>
      <w:r>
        <w:rPr>
          <w:rFonts w:ascii="Arial" w:hAnsi="Arial"/>
          <w:sz w:val="24"/>
          <w:szCs w:val="24"/>
          <w:rtl w:val="0"/>
          <w:lang w:val="en-US"/>
        </w:rPr>
        <w:t>ed their data using sex as a variable</w:t>
      </w:r>
      <w:r>
        <w:rPr>
          <w:rFonts w:ascii="Arial" w:hAnsi="Arial"/>
          <w:sz w:val="24"/>
          <w:szCs w:val="24"/>
          <w:rtl w:val="0"/>
          <w:lang w:val="en-US"/>
        </w:rPr>
        <w:t xml:space="preserve"> </w:t>
      </w:r>
      <w:r>
        <w:rPr>
          <w:rFonts w:ascii="Arial" w:hAnsi="Arial"/>
          <w:sz w:val="24"/>
          <w:szCs w:val="24"/>
          <w:rtl w:val="0"/>
        </w:rPr>
        <w:t>(Galea et al., 2023)</w:t>
      </w:r>
      <w:r>
        <w:rPr>
          <w:rFonts w:ascii="Arial" w:hAnsi="Arial"/>
          <w:sz w:val="24"/>
          <w:szCs w:val="24"/>
          <w:rtl w:val="0"/>
          <w:lang w:val="en-US"/>
        </w:rPr>
        <w:t xml:space="preserve"> despite there being an increase in women taking part in studies (</w:t>
      </w:r>
      <w:r>
        <w:rPr>
          <w:rFonts w:ascii="Arial" w:hAnsi="Arial"/>
          <w:sz w:val="24"/>
          <w:szCs w:val="24"/>
          <w:rtl w:val="0"/>
          <w:lang w:val="es-ES_tradnl"/>
        </w:rPr>
        <w:t>Garcia-Sifuentes</w:t>
      </w:r>
      <w:r>
        <w:rPr>
          <w:rFonts w:ascii="Arial" w:hAnsi="Arial"/>
          <w:sz w:val="24"/>
          <w:szCs w:val="24"/>
          <w:rtl w:val="0"/>
          <w:lang w:val="en-US"/>
        </w:rPr>
        <w:t xml:space="preserve"> </w:t>
      </w:r>
      <w:r>
        <w:rPr>
          <w:rFonts w:ascii="Arial" w:hAnsi="Arial"/>
          <w:sz w:val="24"/>
          <w:szCs w:val="24"/>
          <w:rtl w:val="0"/>
        </w:rPr>
        <w:t>et al.,</w:t>
      </w:r>
      <w:r>
        <w:rPr>
          <w:rFonts w:ascii="Arial" w:hAnsi="Arial"/>
          <w:sz w:val="24"/>
          <w:szCs w:val="24"/>
          <w:rtl w:val="0"/>
          <w:lang w:val="en-US"/>
        </w:rPr>
        <w:t xml:space="preserve"> 2021).</w:t>
      </w: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r>
        <w:rPr>
          <w:rFonts w:ascii="Arial" w:hAnsi="Arial"/>
          <w:sz w:val="24"/>
          <w:szCs w:val="24"/>
          <w:rtl w:val="0"/>
          <w:lang w:val="en-US"/>
        </w:rPr>
        <w:t xml:space="preserve">This is further exacerbated due to a lack of interest demonstrated by researchers on the biological differences and impacts of treatments on females.  In a paper examining the publicly available database of grant abstracts funded by the Canadian Institute of Health Research (CIHR) from 2009 to 2020, it was discovered that the percentage of funded grants focusing on female-specific health did not change from 2009 to 2020 rather, the total funding amount for grants that mentioned sex either stagnated or declined (Stranges </w:t>
      </w:r>
      <w:r>
        <w:rPr>
          <w:rFonts w:ascii="Arial" w:hAnsi="Arial"/>
          <w:sz w:val="24"/>
          <w:szCs w:val="24"/>
          <w:rtl w:val="0"/>
        </w:rPr>
        <w:t>et al.,</w:t>
      </w:r>
      <w:r>
        <w:rPr>
          <w:rFonts w:ascii="Arial" w:hAnsi="Arial"/>
          <w:sz w:val="24"/>
          <w:szCs w:val="24"/>
          <w:rtl w:val="0"/>
          <w:lang w:val="en-US"/>
        </w:rPr>
        <w:t xml:space="preserve"> 2023).</w:t>
      </w: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r>
        <w:rPr>
          <w:rFonts w:ascii="Arial" w:hAnsi="Arial"/>
          <w:sz w:val="24"/>
          <w:szCs w:val="24"/>
          <w:rtl w:val="0"/>
          <w:lang w:val="en-US"/>
        </w:rPr>
        <w:t>An independent charity that distributed funds based solely on the proposed benefit to women's health and an insistence that women</w:t>
      </w:r>
      <w:r>
        <w:rPr>
          <w:rFonts w:ascii="Arial" w:hAnsi="Arial" w:hint="default"/>
          <w:sz w:val="24"/>
          <w:szCs w:val="24"/>
          <w:rtl w:val="0"/>
          <w:lang w:val="en-US"/>
        </w:rPr>
        <w:t>’</w:t>
      </w:r>
      <w:r>
        <w:rPr>
          <w:rFonts w:ascii="Arial" w:hAnsi="Arial"/>
          <w:sz w:val="24"/>
          <w:szCs w:val="24"/>
          <w:rtl w:val="0"/>
          <w:lang w:val="en-US"/>
        </w:rPr>
        <w:t>s health is the primary focus of any grant applications would in the author</w:t>
      </w:r>
      <w:r>
        <w:rPr>
          <w:rFonts w:ascii="Arial" w:hAnsi="Arial" w:hint="default"/>
          <w:sz w:val="24"/>
          <w:szCs w:val="24"/>
          <w:rtl w:val="0"/>
          <w:lang w:val="en-US"/>
        </w:rPr>
        <w:t>’</w:t>
      </w:r>
      <w:r>
        <w:rPr>
          <w:rFonts w:ascii="Arial" w:hAnsi="Arial"/>
          <w:sz w:val="24"/>
          <w:szCs w:val="24"/>
          <w:rtl w:val="0"/>
          <w:lang w:val="en-US"/>
        </w:rPr>
        <w:t>s opinion, actively encourage further research in this area because after all, Universities and other research bodies reliant on grant funding have to stay operational somehow.</w:t>
      </w: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r>
        <w:rPr>
          <w:rFonts w:ascii="Arial" w:hAnsi="Arial"/>
          <w:sz w:val="24"/>
          <w:szCs w:val="24"/>
          <w:rtl w:val="0"/>
          <w:lang w:val="en-US"/>
        </w:rPr>
        <w:t>The author also sees little benefit in prioritising one area of research over another (with the exception of education which has not been referred to in this discussion) if the provision of a holistic approach to the treatment and management of neurodivergent conditions is the ultimate goal.</w:t>
      </w: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r>
        <w:rPr>
          <w:rFonts w:ascii="Arial" w:hAnsi="Arial"/>
          <w:sz w:val="24"/>
          <w:szCs w:val="24"/>
          <w:rtl w:val="0"/>
          <w:lang w:val="en-US"/>
        </w:rPr>
        <w:t xml:space="preserve">Relating to this Joel and McCarthy, (2017) two neuropharmacologists discuss sex differences in the male and female brain and identify four classifications of difference: </w:t>
      </w:r>
      <w:r>
        <w:rPr>
          <w:rFonts w:ascii="Arial" w:hAnsi="Arial"/>
          <w:sz w:val="24"/>
          <w:szCs w:val="24"/>
          <w:rtl w:val="0"/>
        </w:rPr>
        <w:t>(1) persistent</w:t>
      </w:r>
      <w:r>
        <w:rPr>
          <w:rFonts w:ascii="Arial" w:hAnsi="Arial" w:hint="default"/>
          <w:sz w:val="24"/>
          <w:szCs w:val="24"/>
          <w:rtl w:val="0"/>
        </w:rPr>
        <w:t> </w:t>
      </w:r>
      <w:r>
        <w:rPr>
          <w:rFonts w:ascii="Arial" w:hAnsi="Arial"/>
          <w:i w:val="1"/>
          <w:iCs w:val="1"/>
          <w:sz w:val="24"/>
          <w:szCs w:val="24"/>
          <w:rtl w:val="0"/>
        </w:rPr>
        <w:t>vs</w:t>
      </w:r>
      <w:r>
        <w:rPr>
          <w:rFonts w:ascii="Arial" w:hAnsi="Arial" w:hint="default"/>
          <w:sz w:val="24"/>
          <w:szCs w:val="24"/>
          <w:rtl w:val="0"/>
        </w:rPr>
        <w:t> </w:t>
      </w:r>
      <w:r>
        <w:rPr>
          <w:rFonts w:ascii="Arial" w:hAnsi="Arial"/>
          <w:sz w:val="24"/>
          <w:szCs w:val="24"/>
          <w:rtl w:val="0"/>
          <w:lang w:val="en-US"/>
        </w:rPr>
        <w:t>transient across the lifespan; (2) context independent</w:t>
      </w:r>
      <w:r>
        <w:rPr>
          <w:rFonts w:ascii="Arial" w:hAnsi="Arial" w:hint="default"/>
          <w:sz w:val="24"/>
          <w:szCs w:val="24"/>
          <w:rtl w:val="0"/>
        </w:rPr>
        <w:t> </w:t>
      </w:r>
      <w:r>
        <w:rPr>
          <w:rFonts w:ascii="Arial" w:hAnsi="Arial"/>
          <w:i w:val="1"/>
          <w:iCs w:val="1"/>
          <w:sz w:val="24"/>
          <w:szCs w:val="24"/>
          <w:rtl w:val="0"/>
        </w:rPr>
        <w:t>vs</w:t>
      </w:r>
      <w:r>
        <w:rPr>
          <w:rFonts w:ascii="Arial" w:hAnsi="Arial" w:hint="default"/>
          <w:sz w:val="24"/>
          <w:szCs w:val="24"/>
          <w:rtl w:val="0"/>
        </w:rPr>
        <w:t> </w:t>
      </w:r>
      <w:r>
        <w:rPr>
          <w:rFonts w:ascii="Arial" w:hAnsi="Arial"/>
          <w:sz w:val="24"/>
          <w:szCs w:val="24"/>
          <w:rtl w:val="0"/>
        </w:rPr>
        <w:t xml:space="preserve">dependent; (3) </w:t>
      </w:r>
      <w:r>
        <w:rPr>
          <w:rFonts w:ascii="Arial" w:hAnsi="Arial"/>
          <w:sz w:val="24"/>
          <w:szCs w:val="24"/>
          <w:rtl w:val="0"/>
          <w:lang w:val="en-US"/>
        </w:rPr>
        <w:t>d</w:t>
      </w:r>
      <w:r>
        <w:rPr>
          <w:rFonts w:ascii="Arial" w:hAnsi="Arial"/>
          <w:sz w:val="24"/>
          <w:szCs w:val="24"/>
          <w:rtl w:val="0"/>
          <w:lang w:val="en-US"/>
        </w:rPr>
        <w:t>imorphic</w:t>
      </w:r>
      <w:r>
        <w:rPr>
          <w:rFonts w:ascii="Arial" w:hAnsi="Arial" w:hint="default"/>
          <w:sz w:val="24"/>
          <w:szCs w:val="24"/>
          <w:rtl w:val="0"/>
        </w:rPr>
        <w:t> </w:t>
      </w:r>
      <w:r>
        <w:rPr>
          <w:rFonts w:ascii="Arial" w:hAnsi="Arial"/>
          <w:i w:val="1"/>
          <w:iCs w:val="1"/>
          <w:sz w:val="24"/>
          <w:szCs w:val="24"/>
          <w:rtl w:val="0"/>
        </w:rPr>
        <w:t>vs</w:t>
      </w:r>
      <w:r>
        <w:rPr>
          <w:rFonts w:ascii="Arial" w:hAnsi="Arial" w:hint="default"/>
          <w:sz w:val="24"/>
          <w:szCs w:val="24"/>
          <w:rtl w:val="0"/>
        </w:rPr>
        <w:t> </w:t>
      </w:r>
      <w:r>
        <w:rPr>
          <w:rFonts w:ascii="Arial" w:hAnsi="Arial"/>
          <w:sz w:val="24"/>
          <w:szCs w:val="24"/>
          <w:rtl w:val="0"/>
          <w:lang w:val="en-US"/>
        </w:rPr>
        <w:t>continuous; and (4) a direct</w:t>
      </w:r>
      <w:r>
        <w:rPr>
          <w:rFonts w:ascii="Arial" w:hAnsi="Arial" w:hint="default"/>
          <w:sz w:val="24"/>
          <w:szCs w:val="24"/>
          <w:rtl w:val="0"/>
        </w:rPr>
        <w:t> </w:t>
      </w:r>
      <w:r>
        <w:rPr>
          <w:rFonts w:ascii="Arial" w:hAnsi="Arial"/>
          <w:i w:val="1"/>
          <w:iCs w:val="1"/>
          <w:sz w:val="24"/>
          <w:szCs w:val="24"/>
          <w:rtl w:val="0"/>
        </w:rPr>
        <w:t>vs</w:t>
      </w:r>
      <w:r>
        <w:rPr>
          <w:rFonts w:ascii="Arial" w:hAnsi="Arial" w:hint="default"/>
          <w:sz w:val="24"/>
          <w:szCs w:val="24"/>
          <w:rtl w:val="0"/>
        </w:rPr>
        <w:t> </w:t>
      </w:r>
      <w:r>
        <w:rPr>
          <w:rFonts w:ascii="Arial" w:hAnsi="Arial"/>
          <w:sz w:val="24"/>
          <w:szCs w:val="24"/>
          <w:rtl w:val="0"/>
          <w:lang w:val="en-US"/>
        </w:rPr>
        <w:t>an indirect consequence of sex</w:t>
      </w:r>
      <w:r>
        <w:rPr>
          <w:rFonts w:ascii="Arial" w:hAnsi="Arial"/>
          <w:sz w:val="24"/>
          <w:szCs w:val="24"/>
          <w:rtl w:val="0"/>
          <w:lang w:val="en-US"/>
        </w:rPr>
        <w:t xml:space="preserve"> and suggested that males and females needed to be compared under a variety of conditions to be able to ascertain which dimension of difference was being observed.  This is important to the author</w:t>
      </w:r>
      <w:r>
        <w:rPr>
          <w:rFonts w:ascii="Arial" w:hAnsi="Arial" w:hint="default"/>
          <w:sz w:val="24"/>
          <w:szCs w:val="24"/>
          <w:rtl w:val="0"/>
          <w:lang w:val="en-US"/>
        </w:rPr>
        <w:t>’</w:t>
      </w:r>
      <w:r>
        <w:rPr>
          <w:rFonts w:ascii="Arial" w:hAnsi="Arial"/>
          <w:sz w:val="24"/>
          <w:szCs w:val="24"/>
          <w:rtl w:val="0"/>
          <w:lang w:val="en-US"/>
        </w:rPr>
        <w:t xml:space="preserve">s argument because although these authors focus their research on neurology, they stress the importance of genetics in determining outcomes and that epigenetics in particular are dependent on a range of variables, some of which may be neurological, which in turn may be dependent on genetics in either the participant of the study, or of other the environmental influencers such as community.  This interplay is unique to individuals and needs to be explored in more detail and may contribute to the growing body of evidence that there are sub-types within both conditions and across both conditions </w:t>
      </w:r>
      <w:r>
        <w:rPr>
          <w:rFonts w:ascii="Arial" w:hAnsi="Arial"/>
          <w:sz w:val="24"/>
          <w:szCs w:val="24"/>
          <w:rtl w:val="0"/>
        </w:rPr>
        <w:t>(Slater et al., 2022,</w:t>
      </w:r>
      <w:r>
        <w:rPr>
          <w:rFonts w:ascii="Arial" w:hAnsi="Arial"/>
          <w:sz w:val="24"/>
          <w:szCs w:val="24"/>
          <w:rtl w:val="0"/>
          <w:lang w:val="en-US"/>
        </w:rPr>
        <w:t xml:space="preserve"> </w:t>
      </w:r>
      <w:r>
        <w:rPr>
          <w:rFonts w:ascii="Arial" w:hAnsi="Arial"/>
          <w:sz w:val="24"/>
          <w:szCs w:val="24"/>
          <w:rtl w:val="0"/>
        </w:rPr>
        <w:t>Hong et al., 2020)</w:t>
      </w:r>
      <w:r>
        <w:rPr>
          <w:rFonts w:ascii="Arial" w:hAnsi="Arial"/>
          <w:sz w:val="24"/>
          <w:szCs w:val="24"/>
          <w:rtl w:val="0"/>
          <w:lang w:val="en-US"/>
        </w:rPr>
        <w:t>.</w:t>
      </w: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r>
        <w:rPr>
          <w:rFonts w:ascii="Arial" w:hAnsi="Arial"/>
          <w:sz w:val="24"/>
          <w:szCs w:val="24"/>
          <w:rtl w:val="0"/>
          <w:lang w:val="en-US"/>
        </w:rPr>
        <w:t>In conclusion, the author is passionate about creating a level playing field within the arena of biological sex, gender and neurodivergence due to the high risk of completed suicide among neurodivergent females which is higher than in neurodivergent men (</w:t>
      </w:r>
      <w:r>
        <w:rPr>
          <w:rFonts w:ascii="Arial" w:hAnsi="Arial"/>
          <w:sz w:val="24"/>
          <w:szCs w:val="24"/>
          <w:rtl w:val="0"/>
        </w:rPr>
        <w:t>Hirvikoski</w:t>
      </w:r>
      <w:r>
        <w:rPr>
          <w:rFonts w:ascii="Arial" w:hAnsi="Arial"/>
          <w:sz w:val="24"/>
          <w:szCs w:val="24"/>
          <w:rtl w:val="0"/>
          <w:lang w:val="en-US"/>
        </w:rPr>
        <w:t xml:space="preserve"> </w:t>
      </w:r>
      <w:r>
        <w:rPr>
          <w:rFonts w:ascii="Arial" w:hAnsi="Arial"/>
          <w:sz w:val="24"/>
          <w:szCs w:val="24"/>
          <w:rtl w:val="0"/>
        </w:rPr>
        <w:t>et al.,</w:t>
      </w:r>
      <w:r>
        <w:rPr>
          <w:rFonts w:ascii="Arial" w:hAnsi="Arial"/>
          <w:sz w:val="24"/>
          <w:szCs w:val="24"/>
          <w:rtl w:val="0"/>
          <w:lang w:val="en-US"/>
        </w:rPr>
        <w:t xml:space="preserve"> 2016) and given that suicide rates are higher in the neurodivergent populations that the NT population (</w:t>
      </w:r>
      <w:r>
        <w:rPr>
          <w:rFonts w:ascii="Arial" w:hAnsi="Arial"/>
          <w:sz w:val="24"/>
          <w:szCs w:val="24"/>
          <w:rtl w:val="0"/>
          <w:lang w:val="de-DE"/>
        </w:rPr>
        <w:t>Richa</w:t>
      </w:r>
      <w:r>
        <w:rPr>
          <w:rFonts w:ascii="Arial" w:hAnsi="Arial"/>
          <w:sz w:val="24"/>
          <w:szCs w:val="24"/>
          <w:rtl w:val="0"/>
          <w:lang w:val="en-US"/>
        </w:rPr>
        <w:t xml:space="preserve"> </w:t>
      </w:r>
      <w:r>
        <w:rPr>
          <w:rFonts w:ascii="Arial" w:hAnsi="Arial"/>
          <w:sz w:val="24"/>
          <w:szCs w:val="24"/>
          <w:rtl w:val="0"/>
        </w:rPr>
        <w:t>et al.,</w:t>
      </w:r>
      <w:r>
        <w:rPr>
          <w:rFonts w:ascii="Arial" w:hAnsi="Arial"/>
          <w:sz w:val="24"/>
          <w:szCs w:val="24"/>
          <w:rtl w:val="0"/>
          <w:lang w:val="en-US"/>
        </w:rPr>
        <w:t xml:space="preserve"> 2014) this represents a significant number of deaths each year.  There is also a significant correlation between neurodivergence in females and substance misuse (</w:t>
      </w:r>
      <w:r>
        <w:rPr>
          <w:rFonts w:ascii="Arial" w:hAnsi="Arial"/>
          <w:sz w:val="24"/>
          <w:szCs w:val="24"/>
          <w:rtl w:val="0"/>
          <w:lang w:val="it-IT"/>
        </w:rPr>
        <w:t>Di Lorenzo</w:t>
      </w:r>
      <w:r>
        <w:rPr>
          <w:rFonts w:ascii="Arial" w:hAnsi="Arial"/>
          <w:sz w:val="24"/>
          <w:szCs w:val="24"/>
          <w:rtl w:val="0"/>
          <w:lang w:val="it-IT"/>
        </w:rPr>
        <w:t xml:space="preserve"> </w:t>
      </w:r>
      <w:r>
        <w:rPr>
          <w:rFonts w:ascii="Arial" w:hAnsi="Arial"/>
          <w:sz w:val="24"/>
          <w:szCs w:val="24"/>
          <w:rtl w:val="0"/>
          <w:lang w:val="it-IT"/>
        </w:rPr>
        <w:t>et al.,</w:t>
      </w:r>
      <w:r>
        <w:rPr>
          <w:rFonts w:ascii="Arial" w:hAnsi="Arial"/>
          <w:sz w:val="24"/>
          <w:szCs w:val="24"/>
          <w:rtl w:val="0"/>
          <w:lang w:val="it-IT"/>
        </w:rPr>
        <w:t xml:space="preserve"> 2021) </w:t>
      </w:r>
      <w:r>
        <w:rPr>
          <w:rFonts w:ascii="Arial" w:hAnsi="Arial"/>
          <w:sz w:val="24"/>
          <w:szCs w:val="24"/>
          <w:rtl w:val="0"/>
          <w:lang w:val="en-US"/>
        </w:rPr>
        <w:t xml:space="preserve">and self-harm (Taylor </w:t>
      </w:r>
      <w:r>
        <w:rPr>
          <w:rFonts w:ascii="Arial" w:hAnsi="Arial"/>
          <w:sz w:val="24"/>
          <w:szCs w:val="24"/>
          <w:rtl w:val="0"/>
        </w:rPr>
        <w:t>et al.,</w:t>
      </w:r>
      <w:r>
        <w:rPr>
          <w:rFonts w:ascii="Arial" w:hAnsi="Arial"/>
          <w:sz w:val="24"/>
          <w:szCs w:val="24"/>
          <w:rtl w:val="0"/>
          <w:lang w:val="en-US"/>
        </w:rPr>
        <w:t xml:space="preserve"> 2014) which also contribute to the number of premature deaths of neurodivergent females each year.</w:t>
      </w: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r>
        <w:rPr>
          <w:rFonts w:ascii="Arial" w:hAnsi="Arial"/>
          <w:sz w:val="24"/>
          <w:szCs w:val="24"/>
          <w:rtl w:val="0"/>
          <w:lang w:val="en-US"/>
        </w:rPr>
        <w:t>References</w:t>
      </w:r>
    </w:p>
    <w:p>
      <w:pPr>
        <w:pStyle w:val="Body"/>
        <w:spacing w:line="480" w:lineRule="auto"/>
        <w:jc w:val="both"/>
        <w:rPr>
          <w:rFonts w:ascii="Arial" w:cs="Arial" w:hAnsi="Arial" w:eastAsia="Arial"/>
          <w:sz w:val="24"/>
          <w:szCs w:val="24"/>
        </w:rPr>
      </w:pPr>
    </w:p>
    <w:p>
      <w:pPr>
        <w:pStyle w:val="Body"/>
        <w:spacing w:line="480" w:lineRule="auto"/>
        <w:jc w:val="both"/>
        <w:rPr>
          <w:rFonts w:ascii="Arial" w:cs="Arial" w:hAnsi="Arial" w:eastAsia="Arial"/>
          <w:sz w:val="24"/>
          <w:szCs w:val="24"/>
        </w:rPr>
      </w:pPr>
      <w:r>
        <w:rPr>
          <w:rFonts w:ascii="Arial" w:hAnsi="Arial"/>
          <w:sz w:val="24"/>
          <w:szCs w:val="24"/>
          <w:rtl w:val="0"/>
          <w:lang w:val="en-US"/>
        </w:rPr>
        <w:t>Board on Population Health, Public Health Practice, &amp; Committee on Women's Health Research. (2010).</w:t>
      </w:r>
      <w:r>
        <w:rPr>
          <w:rFonts w:ascii="Arial" w:hAnsi="Arial" w:hint="default"/>
          <w:sz w:val="24"/>
          <w:szCs w:val="24"/>
          <w:rtl w:val="0"/>
        </w:rPr>
        <w:t> </w:t>
      </w:r>
      <w:r>
        <w:rPr>
          <w:rFonts w:ascii="Arial" w:hAnsi="Arial"/>
          <w:i w:val="1"/>
          <w:iCs w:val="1"/>
          <w:sz w:val="24"/>
          <w:szCs w:val="24"/>
          <w:rtl w:val="0"/>
          <w:lang w:val="en-US"/>
        </w:rPr>
        <w:t>Women's health research: Progress, pitfalls, and promise</w:t>
      </w:r>
      <w:r>
        <w:rPr>
          <w:rFonts w:ascii="Arial" w:hAnsi="Arial"/>
          <w:sz w:val="24"/>
          <w:szCs w:val="24"/>
          <w:rtl w:val="0"/>
          <w:lang w:val="fr-FR"/>
        </w:rPr>
        <w:t>. National Academies Press.</w:t>
      </w:r>
    </w:p>
    <w:p>
      <w:pPr>
        <w:pStyle w:val="Body"/>
        <w:spacing w:line="480" w:lineRule="auto"/>
        <w:jc w:val="both"/>
        <w:rPr>
          <w:rFonts w:ascii="Arial" w:cs="Arial" w:hAnsi="Arial" w:eastAsia="Arial"/>
          <w:sz w:val="24"/>
          <w:szCs w:val="24"/>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en-US"/>
          <w14:textFill>
            <w14:solidFill>
              <w14:srgbClr w14:val="222222"/>
            </w14:solidFill>
          </w14:textFill>
        </w:rPr>
        <w:t>Csecs, J. L., Iodice, V., Rae, C. L., Brooke, A., Simmons, R., Quadt, L., ... &amp; Eccles, J. A. (2022). Joint hypermobility links neurodivergence to dysautonomia and pain.</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lang w:val="fr-FR"/>
          <w14:textFill>
            <w14:solidFill>
              <w14:srgbClr w14:val="222222"/>
            </w14:solidFill>
          </w14:textFill>
        </w:rPr>
        <w:t>Frontiers in psychiatry</w:t>
      </w:r>
      <w:r>
        <w:rPr>
          <w:rFonts w:ascii="Arial" w:hAnsi="Arial"/>
          <w:outline w:val="0"/>
          <w:color w:val="222222"/>
          <w:shd w:val="clear" w:color="auto" w:fill="ffffff"/>
          <w:rtl w:val="0"/>
          <w14:textFill>
            <w14:solidFill>
              <w14:srgbClr w14:val="222222"/>
            </w14:solidFill>
          </w14:textFill>
        </w:rPr>
        <w:t>,</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14:textFill>
            <w14:solidFill>
              <w14:srgbClr w14:val="222222"/>
            </w14:solidFill>
          </w14:textFill>
        </w:rPr>
        <w:t>12</w:t>
      </w:r>
      <w:r>
        <w:rPr>
          <w:rFonts w:ascii="Arial" w:hAnsi="Arial"/>
          <w:outline w:val="0"/>
          <w:color w:val="222222"/>
          <w:shd w:val="clear" w:color="auto" w:fill="ffffff"/>
          <w:rtl w:val="0"/>
          <w14:textFill>
            <w14:solidFill>
              <w14:srgbClr w14:val="222222"/>
            </w14:solidFill>
          </w14:textFill>
        </w:rPr>
        <w:t>, 786916.</w:t>
      </w:r>
    </w:p>
    <w:p>
      <w:pPr>
        <w:pStyle w:val="Body"/>
        <w:spacing w:line="480" w:lineRule="auto"/>
        <w:jc w:val="both"/>
        <w:rPr>
          <w:rFonts w:ascii="Arial" w:cs="Arial" w:hAnsi="Arial" w:eastAsia="Arial"/>
          <w:sz w:val="24"/>
          <w:szCs w:val="24"/>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nl-NL"/>
          <w14:textFill>
            <w14:solidFill>
              <w14:srgbClr w14:val="222222"/>
            </w14:solidFill>
          </w14:textFill>
        </w:rPr>
        <w:t>DeVon, H. A., Mirzaei, S., &amp; Z</w:t>
      </w:r>
      <w:r>
        <w:rPr>
          <w:rFonts w:ascii="Arial" w:hAnsi="Arial" w:hint="default"/>
          <w:outline w:val="0"/>
          <w:color w:val="222222"/>
          <w:shd w:val="clear" w:color="auto" w:fill="ffffff"/>
          <w:rtl w:val="0"/>
          <w:lang w:val="it-IT"/>
          <w14:textFill>
            <w14:solidFill>
              <w14:srgbClr w14:val="222222"/>
            </w14:solidFill>
          </w14:textFill>
        </w:rPr>
        <w:t>è</w:t>
      </w:r>
      <w:r>
        <w:rPr>
          <w:rFonts w:ascii="Arial" w:hAnsi="Arial"/>
          <w:outline w:val="0"/>
          <w:color w:val="222222"/>
          <w:shd w:val="clear" w:color="auto" w:fill="ffffff"/>
          <w:rtl w:val="0"/>
          <w14:textFill>
            <w14:solidFill>
              <w14:srgbClr w14:val="222222"/>
            </w14:solidFill>
          </w14:textFill>
        </w:rPr>
        <w:t>gre</w:t>
      </w:r>
      <w:r>
        <w:rPr>
          <w:rFonts w:ascii="Arial" w:hAnsi="Arial" w:hint="default"/>
          <w:outline w:val="0"/>
          <w:color w:val="222222"/>
          <w:shd w:val="clear" w:color="auto" w:fill="ffffff"/>
          <w:rtl w:val="0"/>
          <w14:textFill>
            <w14:solidFill>
              <w14:srgbClr w14:val="222222"/>
            </w14:solidFill>
          </w14:textFill>
        </w:rPr>
        <w:t>‐</w:t>
      </w:r>
      <w:r>
        <w:rPr>
          <w:rFonts w:ascii="Arial" w:hAnsi="Arial"/>
          <w:outline w:val="0"/>
          <w:color w:val="222222"/>
          <w:shd w:val="clear" w:color="auto" w:fill="ffffff"/>
          <w:rtl w:val="0"/>
          <w:lang w:val="en-US"/>
          <w14:textFill>
            <w14:solidFill>
              <w14:srgbClr w14:val="222222"/>
            </w14:solidFill>
          </w14:textFill>
        </w:rPr>
        <w:t xml:space="preserve">Hemsey, J. (2020). Typical and atypical symptoms of acute coronary syndrome: time to retire the terms?. </w:t>
      </w:r>
      <w:r>
        <w:rPr>
          <w:rFonts w:ascii="Arial" w:hAnsi="Arial"/>
          <w:i w:val="1"/>
          <w:iCs w:val="1"/>
          <w:outline w:val="0"/>
          <w:color w:val="222222"/>
          <w:shd w:val="clear" w:color="auto" w:fill="ffffff"/>
          <w:rtl w:val="0"/>
          <w:lang w:val="en-US"/>
          <w14:textFill>
            <w14:solidFill>
              <w14:srgbClr w14:val="222222"/>
            </w14:solidFill>
          </w14:textFill>
        </w:rPr>
        <w:t>Journal of the American Heart Association</w:t>
      </w:r>
      <w:r>
        <w:rPr>
          <w:rFonts w:ascii="Arial" w:hAnsi="Arial"/>
          <w:outline w:val="0"/>
          <w:color w:val="222222"/>
          <w:shd w:val="clear" w:color="auto" w:fill="ffffff"/>
          <w:rtl w:val="0"/>
          <w14:textFill>
            <w14:solidFill>
              <w14:srgbClr w14:val="222222"/>
            </w14:solidFill>
          </w14:textFill>
        </w:rPr>
        <w:t xml:space="preserve">, </w:t>
      </w:r>
      <w:r>
        <w:rPr>
          <w:rFonts w:ascii="Arial" w:hAnsi="Arial"/>
          <w:i w:val="1"/>
          <w:iCs w:val="1"/>
          <w:outline w:val="0"/>
          <w:color w:val="222222"/>
          <w:shd w:val="clear" w:color="auto" w:fill="ffffff"/>
          <w:rtl w:val="0"/>
          <w14:textFill>
            <w14:solidFill>
              <w14:srgbClr w14:val="222222"/>
            </w14:solidFill>
          </w14:textFill>
        </w:rPr>
        <w:t>9</w:t>
      </w:r>
      <w:r>
        <w:rPr>
          <w:rFonts w:ascii="Arial" w:hAnsi="Arial"/>
          <w:outline w:val="0"/>
          <w:color w:val="222222"/>
          <w:shd w:val="clear" w:color="auto" w:fill="ffffff"/>
          <w:rtl w:val="0"/>
          <w14:textFill>
            <w14:solidFill>
              <w14:srgbClr w14:val="222222"/>
            </w14:solidFill>
          </w14:textFill>
        </w:rPr>
        <w:t>(7), e015539.</w:t>
      </w:r>
    </w:p>
    <w:p>
      <w:pPr>
        <w:pStyle w:val="Default"/>
        <w:bidi w:val="0"/>
        <w:spacing w:before="0" w:line="480" w:lineRule="auto"/>
        <w:ind w:left="0" w:right="0" w:firstLine="0"/>
        <w:jc w:val="both"/>
        <w:rPr>
          <w:rFonts w:ascii="Arial" w:cs="Arial" w:hAnsi="Arial" w:eastAsia="Arial"/>
          <w:u w:color="000000"/>
          <w:rtl w:val="0"/>
          <w14:textOutline w14:w="12700" w14:cap="flat">
            <w14:noFill/>
            <w14:miter w14:lim="400000"/>
          </w14:textOutline>
        </w:rPr>
      </w:pP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r>
        <w:rPr>
          <w:rFonts w:ascii="Arial" w:hAnsi="Arial"/>
          <w:u w:color="000000"/>
          <w:rtl w:val="0"/>
          <w:lang w:val="it-IT"/>
          <w14:textOutline w14:w="12700" w14:cap="flat">
            <w14:noFill/>
            <w14:miter w14:lim="400000"/>
          </w14:textOutline>
        </w:rPr>
        <w:t xml:space="preserve">Di Lorenzo, R., Balducci, J., Poppi, C., Arcolin, E., Cutino, A., Ferri, P., </w:t>
      </w:r>
      <w:r>
        <w:rPr>
          <w:rFonts w:ascii="Arial" w:hAnsi="Arial" w:hint="default"/>
          <w:u w:color="000000"/>
          <w:rtl w:val="0"/>
          <w:lang w:val="en-US"/>
          <w14:textOutline w14:w="12700" w14:cap="flat">
            <w14:noFill/>
            <w14:miter w14:lim="400000"/>
          </w14:textOutline>
        </w:rPr>
        <w:t xml:space="preserve">… </w:t>
      </w:r>
      <w:r>
        <w:rPr>
          <w:rFonts w:ascii="Arial" w:hAnsi="Arial"/>
          <w:u w:color="000000"/>
          <w:rtl w:val="0"/>
          <w:lang w:val="en-US"/>
          <w14:textOutline w14:w="12700" w14:cap="flat">
            <w14:noFill/>
            <w14:miter w14:lim="400000"/>
          </w14:textOutline>
        </w:rPr>
        <w:t>Filippini, T. (2021). Children and adolescents with ADHD followed up to adulthood: a systematic review of long-term outcomes.</w:t>
      </w:r>
      <w:r>
        <w:rPr>
          <w:rFonts w:ascii="Arial" w:hAnsi="Arial" w:hint="default"/>
          <w:u w:color="000000"/>
          <w:rtl w:val="0"/>
          <w:lang w:val="en-US"/>
          <w14:textOutline w14:w="12700" w14:cap="flat">
            <w14:noFill/>
            <w14:miter w14:lim="400000"/>
          </w14:textOutline>
        </w:rPr>
        <w:t> </w:t>
      </w:r>
      <w:r>
        <w:rPr>
          <w:rFonts w:ascii="Arial" w:hAnsi="Arial"/>
          <w:i w:val="1"/>
          <w:iCs w:val="1"/>
          <w:u w:color="000000"/>
          <w:rtl w:val="0"/>
          <w:lang w:val="en-US"/>
          <w14:textOutline w14:w="12700" w14:cap="flat">
            <w14:noFill/>
            <w14:miter w14:lim="400000"/>
          </w14:textOutline>
        </w:rPr>
        <w:t>Acta Neuropsychiatrica</w:t>
      </w:r>
      <w:r>
        <w:rPr>
          <w:rFonts w:ascii="Arial" w:hAnsi="Arial"/>
          <w:u w:color="000000"/>
          <w:rtl w:val="0"/>
          <w:lang w:val="en-US"/>
          <w14:textOutline w14:w="12700" w14:cap="flat">
            <w14:noFill/>
            <w14:miter w14:lim="400000"/>
          </w14:textOutline>
        </w:rPr>
        <w:t>,</w:t>
      </w:r>
      <w:r>
        <w:rPr>
          <w:rFonts w:ascii="Arial" w:hAnsi="Arial" w:hint="default"/>
          <w:u w:color="000000"/>
          <w:rtl w:val="0"/>
          <w:lang w:val="en-US"/>
          <w14:textOutline w14:w="12700" w14:cap="flat">
            <w14:noFill/>
            <w14:miter w14:lim="400000"/>
          </w14:textOutline>
        </w:rPr>
        <w:t> </w:t>
      </w:r>
      <w:r>
        <w:rPr>
          <w:rFonts w:ascii="Arial" w:hAnsi="Arial"/>
          <w:i w:val="1"/>
          <w:iCs w:val="1"/>
          <w:u w:color="000000"/>
          <w:rtl w:val="0"/>
          <w:lang w:val="en-US"/>
          <w14:textOutline w14:w="12700" w14:cap="flat">
            <w14:noFill/>
            <w14:miter w14:lim="400000"/>
          </w14:textOutline>
        </w:rPr>
        <w:t>33</w:t>
      </w:r>
      <w:r>
        <w:rPr>
          <w:rFonts w:ascii="Arial" w:hAnsi="Arial"/>
          <w:u w:color="000000"/>
          <w:rtl w:val="0"/>
          <w:lang w:val="en-US"/>
          <w14:textOutline w14:w="12700" w14:cap="flat">
            <w14:noFill/>
            <w14:miter w14:lim="400000"/>
          </w14:textOutline>
        </w:rPr>
        <w:t>(6), 283</w:t>
      </w:r>
      <w:r>
        <w:rPr>
          <w:rFonts w:ascii="Arial" w:hAnsi="Arial" w:hint="default"/>
          <w:u w:color="000000"/>
          <w:rtl w:val="0"/>
          <w:lang w:val="en-US"/>
          <w14:textOutline w14:w="12700" w14:cap="flat">
            <w14:noFill/>
            <w14:miter w14:lim="400000"/>
          </w14:textOutline>
        </w:rPr>
        <w:t>–</w:t>
      </w:r>
      <w:r>
        <w:rPr>
          <w:rFonts w:ascii="Arial" w:hAnsi="Arial"/>
          <w:u w:color="000000"/>
          <w:rtl w:val="0"/>
          <w:lang w:val="en-US"/>
          <w14:textOutline w14:w="12700" w14:cap="flat">
            <w14:noFill/>
            <w14:miter w14:lim="400000"/>
          </w14:textOutline>
        </w:rPr>
        <w:t>298. doi:10.1017/neu.2021.23</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p>
    <w:p>
      <w:pPr>
        <w:pStyle w:val="Default"/>
        <w:bidi w:val="0"/>
        <w:spacing w:before="0" w:line="480" w:lineRule="auto"/>
        <w:ind w:left="0" w:right="0" w:firstLine="0"/>
        <w:jc w:val="both"/>
        <w:rPr>
          <w:rFonts w:ascii="Arial" w:cs="Arial" w:hAnsi="Arial" w:eastAsia="Arial"/>
          <w:u w:color="000000"/>
          <w:rtl w:val="0"/>
          <w14:textOutline w14:w="12700" w14:cap="flat">
            <w14:noFill/>
            <w14:miter w14:lim="400000"/>
          </w14:textOutline>
        </w:rPr>
      </w:pPr>
      <w:r>
        <w:rPr>
          <w:rFonts w:ascii="Arial" w:hAnsi="Arial"/>
          <w:u w:color="000000"/>
          <w:rtl w:val="0"/>
          <w:lang w:val="it-IT"/>
          <w14:textOutline w14:w="12700" w14:cap="flat">
            <w14:noFill/>
            <w14:miter w14:lim="400000"/>
          </w14:textOutline>
        </w:rPr>
        <w:t>Fraticelli, S., Caratelli, G., De Berardis, D., Ducci, G., Pettorruso, M., Martinotti, G., ... &amp; Di Giannantonio, M. (2022). Gender differences in attention deficit hyperactivity disorder: An update of the current evidence.</w:t>
      </w:r>
      <w:r>
        <w:rPr>
          <w:rFonts w:ascii="Arial" w:hAnsi="Arial" w:hint="default"/>
          <w:u w:color="000000"/>
          <w:rtl w:val="0"/>
          <w14:textOutline w14:w="12700" w14:cap="flat">
            <w14:noFill/>
            <w14:miter w14:lim="400000"/>
          </w14:textOutline>
        </w:rPr>
        <w:t> </w:t>
      </w:r>
      <w:r>
        <w:rPr>
          <w:rFonts w:ascii="Arial" w:hAnsi="Arial"/>
          <w:i w:val="1"/>
          <w:iCs w:val="1"/>
          <w:u w:color="000000"/>
          <w:rtl w:val="0"/>
          <w:lang w:val="it-IT"/>
          <w14:textOutline w14:w="12700" w14:cap="flat">
            <w14:noFill/>
            <w14:miter w14:lim="400000"/>
          </w14:textOutline>
        </w:rPr>
        <w:t>Rivista di psichiatria</w:t>
      </w:r>
      <w:r>
        <w:rPr>
          <w:rFonts w:ascii="Arial" w:hAnsi="Arial"/>
          <w:u w:color="000000"/>
          <w:rtl w:val="0"/>
          <w14:textOutline w14:w="12700" w14:cap="flat">
            <w14:noFill/>
            <w14:miter w14:lim="400000"/>
          </w14:textOutline>
        </w:rPr>
        <w:t>,</w:t>
      </w:r>
      <w:r>
        <w:rPr>
          <w:rFonts w:ascii="Arial" w:hAnsi="Arial" w:hint="default"/>
          <w:u w:color="000000"/>
          <w:rtl w:val="0"/>
          <w14:textOutline w14:w="12700" w14:cap="flat">
            <w14:noFill/>
            <w14:miter w14:lim="400000"/>
          </w14:textOutline>
        </w:rPr>
        <w:t> </w:t>
      </w:r>
      <w:r>
        <w:rPr>
          <w:rFonts w:ascii="Arial" w:hAnsi="Arial"/>
          <w:i w:val="1"/>
          <w:iCs w:val="1"/>
          <w:u w:color="000000"/>
          <w:rtl w:val="0"/>
          <w:lang w:val="ru-RU"/>
          <w14:textOutline w14:w="12700" w14:cap="flat">
            <w14:noFill/>
            <w14:miter w14:lim="400000"/>
          </w14:textOutline>
        </w:rPr>
        <w:t>57</w:t>
      </w:r>
      <w:r>
        <w:rPr>
          <w:rFonts w:ascii="Arial" w:hAnsi="Arial"/>
          <w:u w:color="000000"/>
          <w:rtl w:val="0"/>
          <w14:textOutline w14:w="12700" w14:cap="flat">
            <w14:noFill/>
            <w14:miter w14:lim="400000"/>
          </w14:textOutline>
        </w:rPr>
        <w:t>(4), 159-164.</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r>
        <w:rPr>
          <w:rFonts w:ascii="Arial" w:hAnsi="Arial"/>
          <w:outline w:val="0"/>
          <w:color w:val="222222"/>
          <w:sz w:val="24"/>
          <w:szCs w:val="24"/>
          <w:rtl w:val="0"/>
          <w:lang w:val="en-US"/>
          <w14:textFill>
            <w14:solidFill>
              <w14:srgbClr w14:val="222222"/>
            </w14:solidFill>
          </w14:textFill>
        </w:rPr>
        <w:t>Galea, L. A., Lee, B. H., Rajah, M. N., &amp; Einstein, G. (2023). Beyond sex and gender differences: The case for women's health research. In</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lang w:val="en-US"/>
          <w14:textFill>
            <w14:solidFill>
              <w14:srgbClr w14:val="222222"/>
            </w14:solidFill>
          </w14:textFill>
        </w:rPr>
        <w:t>Principles of Gender-Specific Medicine</w:t>
      </w:r>
      <w:r>
        <w:rPr>
          <w:rFonts w:ascii="Arial" w:hAnsi="Arial" w:hint="default"/>
          <w:outline w:val="0"/>
          <w:color w:val="222222"/>
          <w:sz w:val="24"/>
          <w:szCs w:val="24"/>
          <w:rtl w:val="0"/>
          <w14:textFill>
            <w14:solidFill>
              <w14:srgbClr w14:val="222222"/>
            </w14:solidFill>
          </w14:textFill>
        </w:rPr>
        <w:t> </w:t>
      </w:r>
      <w:r>
        <w:rPr>
          <w:rFonts w:ascii="Arial" w:hAnsi="Arial"/>
          <w:outline w:val="0"/>
          <w:color w:val="222222"/>
          <w:sz w:val="24"/>
          <w:szCs w:val="24"/>
          <w:rtl w:val="0"/>
          <w:lang w:val="pt-PT"/>
          <w14:textFill>
            <w14:solidFill>
              <w14:srgbClr w14:val="222222"/>
            </w14:solidFill>
          </w14:textFill>
        </w:rPr>
        <w:t>(pp. 699-711). Academic Press.</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r>
        <w:rPr>
          <w:rFonts w:ascii="Arial" w:hAnsi="Arial"/>
          <w:outline w:val="0"/>
          <w:color w:val="222222"/>
          <w:sz w:val="24"/>
          <w:szCs w:val="24"/>
          <w:rtl w:val="0"/>
          <w:lang w:val="en-US"/>
          <w14:textFill>
            <w14:solidFill>
              <w14:srgbClr w14:val="222222"/>
            </w14:solidFill>
          </w14:textFill>
        </w:rPr>
        <w:t>Garcia-Sifuentes, Y., &amp; Maney, D. L. (2021). Reporting and misreporting of sex differences in the biological sciences.</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lang w:val="en-US"/>
          <w14:textFill>
            <w14:solidFill>
              <w14:srgbClr w14:val="222222"/>
            </w14:solidFill>
          </w14:textFill>
        </w:rPr>
        <w:t>Elife</w:t>
      </w:r>
      <w:r>
        <w:rPr>
          <w:rFonts w:ascii="Arial" w:hAnsi="Arial"/>
          <w:outline w:val="0"/>
          <w:color w:val="222222"/>
          <w:sz w:val="24"/>
          <w:szCs w:val="24"/>
          <w:rtl w:val="0"/>
          <w14:textFill>
            <w14:solidFill>
              <w14:srgbClr w14:val="222222"/>
            </w14:solidFill>
          </w14:textFill>
        </w:rPr>
        <w:t>,</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14:textFill>
            <w14:solidFill>
              <w14:srgbClr w14:val="222222"/>
            </w14:solidFill>
          </w14:textFill>
        </w:rPr>
        <w:t>10</w:t>
      </w:r>
      <w:r>
        <w:rPr>
          <w:rFonts w:ascii="Arial" w:hAnsi="Arial"/>
          <w:outline w:val="0"/>
          <w:color w:val="222222"/>
          <w:sz w:val="24"/>
          <w:szCs w:val="24"/>
          <w:rtl w:val="0"/>
          <w14:textFill>
            <w14:solidFill>
              <w14:srgbClr w14:val="222222"/>
            </w14:solidFill>
          </w14:textFill>
        </w:rPr>
        <w:t>, e70817.</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r>
        <w:rPr>
          <w:rFonts w:ascii="Arial" w:hAnsi="Arial"/>
          <w:outline w:val="0"/>
          <w:color w:val="222222"/>
          <w:sz w:val="24"/>
          <w:szCs w:val="24"/>
          <w:rtl w:val="0"/>
          <w:lang w:val="en-US"/>
          <w14:textFill>
            <w14:solidFill>
              <w14:srgbClr w14:val="222222"/>
            </w14:solidFill>
          </w14:textFill>
        </w:rPr>
        <w:t>Gdovinova, Z., Kremer, C., Lorenzano, S., Dawson, J., Lal, A., &amp; Caso, V. (2022). Aspirin for primary stroke prevention; evidence for a differential effect in men and women.</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lang w:val="en-US"/>
          <w14:textFill>
            <w14:solidFill>
              <w14:srgbClr w14:val="222222"/>
            </w14:solidFill>
          </w14:textFill>
        </w:rPr>
        <w:t>Frontiers in Neurology</w:t>
      </w:r>
      <w:r>
        <w:rPr>
          <w:rFonts w:ascii="Arial" w:hAnsi="Arial"/>
          <w:outline w:val="0"/>
          <w:color w:val="222222"/>
          <w:sz w:val="24"/>
          <w:szCs w:val="24"/>
          <w:rtl w:val="0"/>
          <w14:textFill>
            <w14:solidFill>
              <w14:srgbClr w14:val="222222"/>
            </w14:solidFill>
          </w14:textFill>
        </w:rPr>
        <w:t>,</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14:textFill>
            <w14:solidFill>
              <w14:srgbClr w14:val="222222"/>
            </w14:solidFill>
          </w14:textFill>
        </w:rPr>
        <w:t>13</w:t>
      </w:r>
      <w:r>
        <w:rPr>
          <w:rFonts w:ascii="Arial" w:hAnsi="Arial"/>
          <w:outline w:val="0"/>
          <w:color w:val="222222"/>
          <w:sz w:val="24"/>
          <w:szCs w:val="24"/>
          <w:rtl w:val="0"/>
          <w14:textFill>
            <w14:solidFill>
              <w14:srgbClr w14:val="222222"/>
            </w14:solidFill>
          </w14:textFill>
        </w:rPr>
        <w:t>, 856239.</w:t>
      </w:r>
    </w:p>
    <w:p>
      <w:pPr>
        <w:pStyle w:val="Body"/>
        <w:spacing w:line="480" w:lineRule="auto"/>
        <w:jc w:val="both"/>
        <w:rPr>
          <w:rFonts w:ascii="Arial" w:cs="Arial" w:hAnsi="Arial" w:eastAsia="Arial"/>
          <w:sz w:val="24"/>
          <w:szCs w:val="24"/>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en-US"/>
          <w14:textFill>
            <w14:solidFill>
              <w14:srgbClr w14:val="222222"/>
            </w14:solidFill>
          </w14:textFill>
        </w:rPr>
        <w:t>Griffiths, S., Allison, C., Kenny, R., Holt, R., Smith, P., &amp; Baron-Cohen, S. (2019). The Vulnerability Experiences Quotient (VEQ): A Study of Vulnerability, Mental Health and Life Satisfaction in Autistic Adults.</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lang w:val="en-US"/>
          <w14:textFill>
            <w14:solidFill>
              <w14:srgbClr w14:val="222222"/>
            </w14:solidFill>
          </w14:textFill>
        </w:rPr>
        <w:t>Autism research: official journal of the International Society for Autism Research</w:t>
      </w:r>
      <w:r>
        <w:rPr>
          <w:rFonts w:ascii="Arial" w:hAnsi="Arial"/>
          <w:outline w:val="0"/>
          <w:color w:val="222222"/>
          <w:shd w:val="clear" w:color="auto" w:fill="ffffff"/>
          <w:rtl w:val="0"/>
          <w14:textFill>
            <w14:solidFill>
              <w14:srgbClr w14:val="222222"/>
            </w14:solidFill>
          </w14:textFill>
        </w:rPr>
        <w:t>,</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14:textFill>
            <w14:solidFill>
              <w14:srgbClr w14:val="222222"/>
            </w14:solidFill>
          </w14:textFill>
        </w:rPr>
        <w:t>12</w:t>
      </w:r>
      <w:r>
        <w:rPr>
          <w:rFonts w:ascii="Arial" w:hAnsi="Arial"/>
          <w:outline w:val="0"/>
          <w:color w:val="222222"/>
          <w:shd w:val="clear" w:color="auto" w:fill="ffffff"/>
          <w:rtl w:val="0"/>
          <w14:textFill>
            <w14:solidFill>
              <w14:srgbClr w14:val="222222"/>
            </w14:solidFill>
          </w14:textFill>
        </w:rPr>
        <w:t>(10), 1516-1528.</w:t>
      </w:r>
    </w:p>
    <w:p>
      <w:pPr>
        <w:pStyle w:val="Default"/>
        <w:bidi w:val="0"/>
        <w:spacing w:before="0" w:line="480" w:lineRule="auto"/>
        <w:ind w:left="0" w:right="0" w:firstLine="0"/>
        <w:jc w:val="both"/>
        <w:rPr>
          <w:rFonts w:ascii="Arial" w:cs="Arial" w:hAnsi="Arial" w:eastAsia="Arial"/>
          <w:rtl w:val="0"/>
        </w:rPr>
      </w:pPr>
    </w:p>
    <w:p>
      <w:pPr>
        <w:pStyle w:val="Default"/>
        <w:bidi w:val="0"/>
        <w:spacing w:before="0" w:line="480" w:lineRule="auto"/>
        <w:ind w:left="0" w:right="0" w:firstLine="0"/>
        <w:jc w:val="both"/>
        <w:rPr>
          <w:rFonts w:ascii="Arial" w:cs="Arial" w:hAnsi="Arial" w:eastAsia="Arial"/>
          <w:rtl w:val="0"/>
        </w:rPr>
      </w:pPr>
      <w:r>
        <w:rPr>
          <w:rFonts w:ascii="Arial" w:hAnsi="Arial"/>
          <w:rtl w:val="0"/>
          <w:lang w:val="de-DE"/>
        </w:rPr>
        <w:t>Hirvikoski T., Mittendorfer-Rutz E., Boman M., Larsson H., Lichtenstein P., B</w:t>
      </w:r>
      <w:r>
        <w:rPr>
          <w:rFonts w:ascii="Arial" w:hAnsi="Arial" w:hint="default"/>
          <w:rtl w:val="0"/>
          <w:lang w:val="sv-SE"/>
        </w:rPr>
        <w:t>ö</w:t>
      </w:r>
      <w:r>
        <w:rPr>
          <w:rFonts w:ascii="Arial" w:hAnsi="Arial"/>
          <w:rtl w:val="0"/>
          <w:lang w:val="en-US"/>
        </w:rPr>
        <w:t>lte S. (2016). Premature mortality in autism spectrum disorder. The British Journal of Psychiatry: The Journal of Mental Science, 208(3 Special Issue: Physical Health Across the Lifespan), 2</w:t>
      </w: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it-IT"/>
          <w14:textFill>
            <w14:solidFill>
              <w14:srgbClr w14:val="222222"/>
            </w14:solidFill>
          </w14:textFill>
        </w:rPr>
        <w:t>Hong, S. J., Vogelstein, J. T., Gozzi, A., Bernhardt, B. C., Yeo, B. T., Milham, M. P., &amp; Di Martino, A. (2020). Toward neurosubtypes in autism.</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lang w:val="en-US"/>
          <w14:textFill>
            <w14:solidFill>
              <w14:srgbClr w14:val="222222"/>
            </w14:solidFill>
          </w14:textFill>
        </w:rPr>
        <w:t>Biological Psychiatry</w:t>
      </w:r>
      <w:r>
        <w:rPr>
          <w:rFonts w:ascii="Arial" w:hAnsi="Arial"/>
          <w:outline w:val="0"/>
          <w:color w:val="222222"/>
          <w:shd w:val="clear" w:color="auto" w:fill="ffffff"/>
          <w:rtl w:val="0"/>
          <w14:textFill>
            <w14:solidFill>
              <w14:srgbClr w14:val="222222"/>
            </w14:solidFill>
          </w14:textFill>
        </w:rPr>
        <w:t>,</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14:textFill>
            <w14:solidFill>
              <w14:srgbClr w14:val="222222"/>
            </w14:solidFill>
          </w14:textFill>
        </w:rPr>
        <w:t>88</w:t>
      </w:r>
      <w:r>
        <w:rPr>
          <w:rFonts w:ascii="Arial" w:hAnsi="Arial"/>
          <w:outline w:val="0"/>
          <w:color w:val="222222"/>
          <w:shd w:val="clear" w:color="auto" w:fill="ffffff"/>
          <w:rtl w:val="0"/>
          <w14:textFill>
            <w14:solidFill>
              <w14:srgbClr w14:val="222222"/>
            </w14:solidFill>
          </w14:textFill>
        </w:rPr>
        <w:t>(1), 111-128.</w:t>
      </w: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en-US"/>
          <w14:textFill>
            <w14:solidFill>
              <w14:srgbClr w14:val="222222"/>
            </w14:solidFill>
          </w14:textFill>
        </w:rPr>
        <w:t>Joel, D., &amp; Mccarthy, M. M. (2017). Incorporating sex as a biological variable in neuropsychiatric research: where are we now and where should we be?.</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lang w:val="it-IT"/>
          <w14:textFill>
            <w14:solidFill>
              <w14:srgbClr w14:val="222222"/>
            </w14:solidFill>
          </w14:textFill>
        </w:rPr>
        <w:t>Neuropsychopharmacology</w:t>
      </w:r>
      <w:r>
        <w:rPr>
          <w:rFonts w:ascii="Arial" w:hAnsi="Arial"/>
          <w:outline w:val="0"/>
          <w:color w:val="222222"/>
          <w:shd w:val="clear" w:color="auto" w:fill="ffffff"/>
          <w:rtl w:val="0"/>
          <w14:textFill>
            <w14:solidFill>
              <w14:srgbClr w14:val="222222"/>
            </w14:solidFill>
          </w14:textFill>
        </w:rPr>
        <w:t>,</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14:textFill>
            <w14:solidFill>
              <w14:srgbClr w14:val="222222"/>
            </w14:solidFill>
          </w14:textFill>
        </w:rPr>
        <w:t>42</w:t>
      </w:r>
      <w:r>
        <w:rPr>
          <w:rFonts w:ascii="Arial" w:hAnsi="Arial"/>
          <w:outline w:val="0"/>
          <w:color w:val="222222"/>
          <w:shd w:val="clear" w:color="auto" w:fill="ffffff"/>
          <w:rtl w:val="0"/>
          <w14:textFill>
            <w14:solidFill>
              <w14:srgbClr w14:val="222222"/>
            </w14:solidFill>
          </w14:textFill>
        </w:rPr>
        <w:t>(2), 379-385.</w:t>
      </w: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en-US"/>
          <w14:textFill>
            <w14:solidFill>
              <w14:srgbClr w14:val="222222"/>
            </w14:solidFill>
          </w14:textFill>
        </w:rPr>
        <w:t>Kelly, C., Martin, R., &amp; Taylor, R. (2023). [Commentary] Recognising and Managing Medical Issues in Neurodiverse Females.</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lang w:val="pt-PT"/>
          <w14:textFill>
            <w14:solidFill>
              <w14:srgbClr w14:val="222222"/>
            </w14:solidFill>
          </w14:textFill>
        </w:rPr>
        <w:t>Qeios</w:t>
      </w:r>
      <w:r>
        <w:rPr>
          <w:rFonts w:ascii="Arial" w:hAnsi="Arial"/>
          <w:outline w:val="0"/>
          <w:color w:val="222222"/>
          <w:shd w:val="clear" w:color="auto" w:fill="ffffff"/>
          <w:rtl w:val="0"/>
          <w14:textFill>
            <w14:solidFill>
              <w14:srgbClr w14:val="222222"/>
            </w14:solidFill>
          </w14:textFill>
        </w:rPr>
        <w:t>.</w:t>
      </w: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r>
        <w:rPr>
          <w:rFonts w:ascii="Arial" w:hAnsi="Arial"/>
          <w:outline w:val="0"/>
          <w:color w:val="222222"/>
          <w:sz w:val="24"/>
          <w:szCs w:val="24"/>
          <w:rtl w:val="0"/>
          <w:lang w:val="en-US"/>
          <w14:textFill>
            <w14:solidFill>
              <w14:srgbClr w14:val="222222"/>
            </w14:solidFill>
          </w14:textFill>
        </w:rPr>
        <w:t>Kelly, C., Martin, R., &amp; Taylor, R. (2023). [Commentary] Recognising and Responding to Physical and Mental Health Issues in Neurodivergent Women.</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lang w:val="pt-PT"/>
          <w14:textFill>
            <w14:solidFill>
              <w14:srgbClr w14:val="222222"/>
            </w14:solidFill>
          </w14:textFill>
        </w:rPr>
        <w:t>Qeios</w:t>
      </w:r>
      <w:r>
        <w:rPr>
          <w:rFonts w:ascii="Arial" w:hAnsi="Arial"/>
          <w:outline w:val="0"/>
          <w:color w:val="222222"/>
          <w:sz w:val="24"/>
          <w:szCs w:val="24"/>
          <w:rtl w:val="0"/>
          <w14:textFill>
            <w14:solidFill>
              <w14:srgbClr w14:val="222222"/>
            </w14:solidFill>
          </w14:textFill>
        </w:rPr>
        <w:t>.</w:t>
      </w: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en-US"/>
          <w14:textFill>
            <w14:solidFill>
              <w14:srgbClr w14:val="222222"/>
            </w14:solidFill>
          </w14:textFill>
        </w:rPr>
        <w:t>Kok, F. M., Groen, Y., Fuermaier, A. B., &amp; Tucha, O. (2020). The female side of pharmacotherapy for ADHD</w:t>
      </w:r>
      <w:r>
        <w:rPr>
          <w:rFonts w:ascii="Arial" w:hAnsi="Arial" w:hint="default"/>
          <w:outline w:val="0"/>
          <w:color w:val="222222"/>
          <w:shd w:val="clear" w:color="auto" w:fill="ffffff"/>
          <w:rtl w:val="0"/>
          <w:lang w:val="en-US"/>
          <w14:textFill>
            <w14:solidFill>
              <w14:srgbClr w14:val="222222"/>
            </w14:solidFill>
          </w14:textFill>
        </w:rPr>
        <w:t>—</w:t>
      </w:r>
      <w:r>
        <w:rPr>
          <w:rFonts w:ascii="Arial" w:hAnsi="Arial"/>
          <w:outline w:val="0"/>
          <w:color w:val="222222"/>
          <w:shd w:val="clear" w:color="auto" w:fill="ffffff"/>
          <w:rtl w:val="0"/>
          <w:lang w:val="en-US"/>
          <w14:textFill>
            <w14:solidFill>
              <w14:srgbClr w14:val="222222"/>
            </w14:solidFill>
          </w14:textFill>
        </w:rPr>
        <w:t>A systematic literature review.</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14:textFill>
            <w14:solidFill>
              <w14:srgbClr w14:val="222222"/>
            </w14:solidFill>
          </w14:textFill>
        </w:rPr>
        <w:t>PLoS One</w:t>
      </w:r>
      <w:r>
        <w:rPr>
          <w:rFonts w:ascii="Arial" w:hAnsi="Arial"/>
          <w:outline w:val="0"/>
          <w:color w:val="222222"/>
          <w:shd w:val="clear" w:color="auto" w:fill="ffffff"/>
          <w:rtl w:val="0"/>
          <w14:textFill>
            <w14:solidFill>
              <w14:srgbClr w14:val="222222"/>
            </w14:solidFill>
          </w14:textFill>
        </w:rPr>
        <w:t>,</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14:textFill>
            <w14:solidFill>
              <w14:srgbClr w14:val="222222"/>
            </w14:solidFill>
          </w14:textFill>
        </w:rPr>
        <w:t>15</w:t>
      </w:r>
      <w:r>
        <w:rPr>
          <w:rFonts w:ascii="Arial" w:hAnsi="Arial"/>
          <w:outline w:val="0"/>
          <w:color w:val="222222"/>
          <w:shd w:val="clear" w:color="auto" w:fill="ffffff"/>
          <w:rtl w:val="0"/>
          <w14:textFill>
            <w14:solidFill>
              <w14:srgbClr w14:val="222222"/>
            </w14:solidFill>
          </w14:textFill>
        </w:rPr>
        <w:t>(9), e0239257.</w:t>
      </w: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r>
        <w:rPr>
          <w:rFonts w:ascii="Arial" w:hAnsi="Arial"/>
          <w:outline w:val="0"/>
          <w:color w:val="222222"/>
          <w:sz w:val="24"/>
          <w:szCs w:val="24"/>
          <w:rtl w:val="0"/>
          <w:lang w:val="en-US"/>
          <w14:textFill>
            <w14:solidFill>
              <w14:srgbClr w14:val="222222"/>
            </w14:solidFill>
          </w14:textFill>
        </w:rPr>
        <w:t xml:space="preserve">Moseley, R. L., Druce, T., &amp; Turner-Cobb, J. M. (2020). </w:t>
      </w:r>
      <w:r>
        <w:rPr>
          <w:rFonts w:ascii="Arial" w:hAnsi="Arial" w:hint="default"/>
          <w:outline w:val="0"/>
          <w:color w:val="222222"/>
          <w:sz w:val="24"/>
          <w:szCs w:val="24"/>
          <w:rtl w:val="1"/>
          <w14:textFill>
            <w14:solidFill>
              <w14:srgbClr w14:val="222222"/>
            </w14:solidFill>
          </w14:textFill>
        </w:rPr>
        <w:t>‘</w:t>
      </w:r>
      <w:r>
        <w:rPr>
          <w:rFonts w:ascii="Arial" w:hAnsi="Arial"/>
          <w:outline w:val="0"/>
          <w:color w:val="222222"/>
          <w:sz w:val="24"/>
          <w:szCs w:val="24"/>
          <w:rtl w:val="0"/>
          <w:lang w:val="en-US"/>
          <w14:textFill>
            <w14:solidFill>
              <w14:srgbClr w14:val="222222"/>
            </w14:solidFill>
          </w14:textFill>
        </w:rPr>
        <w:t>When my autism broke</w:t>
      </w:r>
      <w:r>
        <w:rPr>
          <w:rFonts w:ascii="Arial" w:hAnsi="Arial" w:hint="default"/>
          <w:outline w:val="0"/>
          <w:color w:val="222222"/>
          <w:sz w:val="24"/>
          <w:szCs w:val="24"/>
          <w:rtl w:val="1"/>
          <w14:textFill>
            <w14:solidFill>
              <w14:srgbClr w14:val="222222"/>
            </w14:solidFill>
          </w14:textFill>
        </w:rPr>
        <w:t>’</w:t>
      </w:r>
      <w:r>
        <w:rPr>
          <w:rFonts w:ascii="Arial" w:hAnsi="Arial"/>
          <w:outline w:val="0"/>
          <w:color w:val="222222"/>
          <w:sz w:val="24"/>
          <w:szCs w:val="24"/>
          <w:rtl w:val="0"/>
          <w:lang w:val="en-US"/>
          <w14:textFill>
            <w14:solidFill>
              <w14:srgbClr w14:val="222222"/>
            </w14:solidFill>
          </w14:textFill>
        </w:rPr>
        <w:t>: A qualitative study spotlighting autistic voices on menopause.</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14:textFill>
            <w14:solidFill>
              <w14:srgbClr w14:val="222222"/>
            </w14:solidFill>
          </w14:textFill>
        </w:rPr>
        <w:t>Autism</w:t>
      </w:r>
      <w:r>
        <w:rPr>
          <w:rFonts w:ascii="Arial" w:hAnsi="Arial"/>
          <w:outline w:val="0"/>
          <w:color w:val="222222"/>
          <w:sz w:val="24"/>
          <w:szCs w:val="24"/>
          <w:rtl w:val="0"/>
          <w14:textFill>
            <w14:solidFill>
              <w14:srgbClr w14:val="222222"/>
            </w14:solidFill>
          </w14:textFill>
        </w:rPr>
        <w:t>,</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14:textFill>
            <w14:solidFill>
              <w14:srgbClr w14:val="222222"/>
            </w14:solidFill>
          </w14:textFill>
        </w:rPr>
        <w:t>24</w:t>
      </w:r>
      <w:r>
        <w:rPr>
          <w:rFonts w:ascii="Arial" w:hAnsi="Arial"/>
          <w:outline w:val="0"/>
          <w:color w:val="222222"/>
          <w:sz w:val="24"/>
          <w:szCs w:val="24"/>
          <w:rtl w:val="0"/>
          <w14:textFill>
            <w14:solidFill>
              <w14:srgbClr w14:val="222222"/>
            </w14:solidFill>
          </w14:textFill>
        </w:rPr>
        <w:t>(6), 1423-1437.</w:t>
      </w: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en-US"/>
          <w14:textFill>
            <w14:solidFill>
              <w14:srgbClr w14:val="222222"/>
            </w14:solidFill>
          </w14:textFill>
        </w:rPr>
        <w:t>Richa, S., Fahed, M., Khoury, E., &amp; Mishara, B. (2014). Suicide in autism spectrum disorders.</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lang w:val="en-US"/>
          <w14:textFill>
            <w14:solidFill>
              <w14:srgbClr w14:val="222222"/>
            </w14:solidFill>
          </w14:textFill>
        </w:rPr>
        <w:t>Archives of Suicide Research</w:t>
      </w:r>
      <w:r>
        <w:rPr>
          <w:rFonts w:ascii="Arial" w:hAnsi="Arial"/>
          <w:outline w:val="0"/>
          <w:color w:val="222222"/>
          <w:shd w:val="clear" w:color="auto" w:fill="ffffff"/>
          <w:rtl w:val="0"/>
          <w14:textFill>
            <w14:solidFill>
              <w14:srgbClr w14:val="222222"/>
            </w14:solidFill>
          </w14:textFill>
        </w:rPr>
        <w:t>,</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14:textFill>
            <w14:solidFill>
              <w14:srgbClr w14:val="222222"/>
            </w14:solidFill>
          </w14:textFill>
        </w:rPr>
        <w:t>18</w:t>
      </w:r>
      <w:r>
        <w:rPr>
          <w:rFonts w:ascii="Arial" w:hAnsi="Arial"/>
          <w:outline w:val="0"/>
          <w:color w:val="222222"/>
          <w:shd w:val="clear" w:color="auto" w:fill="ffffff"/>
          <w:rtl w:val="0"/>
          <w14:textFill>
            <w14:solidFill>
              <w14:srgbClr w14:val="222222"/>
            </w14:solidFill>
          </w14:textFill>
        </w:rPr>
        <w:t>(4), 327-339.</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r>
        <w:rPr>
          <w:rFonts w:ascii="Arial" w:hAnsi="Arial"/>
          <w:outline w:val="0"/>
          <w:color w:val="222222"/>
          <w:sz w:val="24"/>
          <w:szCs w:val="24"/>
          <w:rtl w:val="0"/>
          <w:lang w:val="en-US"/>
          <w14:textFill>
            <w14:solidFill>
              <w14:srgbClr w14:val="222222"/>
            </w14:solidFill>
          </w14:textFill>
        </w:rPr>
        <w:t>Rigles, B. (2017). The Relationship Between Adverse Childhood Events, Resiliency and Health Among Children with Autism.</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lang w:val="en-US"/>
          <w14:textFill>
            <w14:solidFill>
              <w14:srgbClr w14:val="222222"/>
            </w14:solidFill>
          </w14:textFill>
        </w:rPr>
        <w:t>Journal of autism and developmental disorders</w:t>
      </w:r>
      <w:r>
        <w:rPr>
          <w:rFonts w:ascii="Arial" w:hAnsi="Arial"/>
          <w:outline w:val="0"/>
          <w:color w:val="222222"/>
          <w:sz w:val="24"/>
          <w:szCs w:val="24"/>
          <w:rtl w:val="0"/>
          <w14:textFill>
            <w14:solidFill>
              <w14:srgbClr w14:val="222222"/>
            </w14:solidFill>
          </w14:textFill>
        </w:rPr>
        <w:t>,</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14:textFill>
            <w14:solidFill>
              <w14:srgbClr w14:val="222222"/>
            </w14:solidFill>
          </w14:textFill>
        </w:rPr>
        <w:t>47</w:t>
      </w:r>
      <w:r>
        <w:rPr>
          <w:rFonts w:ascii="Arial" w:hAnsi="Arial"/>
          <w:outline w:val="0"/>
          <w:color w:val="222222"/>
          <w:sz w:val="24"/>
          <w:szCs w:val="24"/>
          <w:rtl w:val="0"/>
          <w14:textFill>
            <w14:solidFill>
              <w14:srgbClr w14:val="222222"/>
            </w14:solidFill>
          </w14:textFill>
        </w:rPr>
        <w:t>(1), 187-202.</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r>
        <w:rPr>
          <w:rFonts w:ascii="Arial" w:hAnsi="Arial"/>
          <w:outline w:val="0"/>
          <w:color w:val="222222"/>
          <w:sz w:val="24"/>
          <w:szCs w:val="24"/>
          <w:rtl w:val="0"/>
          <w:lang w:val="en-US"/>
          <w14:textFill>
            <w14:solidFill>
              <w14:srgbClr w14:val="222222"/>
            </w14:solidFill>
          </w14:textFill>
        </w:rPr>
        <w:t>Rucklidge, J. J. (2008). Gender differences in ADHD: implications for psychosocial treatments.</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lang w:val="en-US"/>
          <w14:textFill>
            <w14:solidFill>
              <w14:srgbClr w14:val="222222"/>
            </w14:solidFill>
          </w14:textFill>
        </w:rPr>
        <w:t>Expert Review of Neurotherapeutics</w:t>
      </w:r>
      <w:r>
        <w:rPr>
          <w:rFonts w:ascii="Arial" w:hAnsi="Arial"/>
          <w:outline w:val="0"/>
          <w:color w:val="222222"/>
          <w:sz w:val="24"/>
          <w:szCs w:val="24"/>
          <w:rtl w:val="0"/>
          <w14:textFill>
            <w14:solidFill>
              <w14:srgbClr w14:val="222222"/>
            </w14:solidFill>
          </w14:textFill>
        </w:rPr>
        <w:t>,</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14:textFill>
            <w14:solidFill>
              <w14:srgbClr w14:val="222222"/>
            </w14:solidFill>
          </w14:textFill>
        </w:rPr>
        <w:t>8</w:t>
      </w:r>
      <w:r>
        <w:rPr>
          <w:rFonts w:ascii="Arial" w:hAnsi="Arial"/>
          <w:outline w:val="0"/>
          <w:color w:val="222222"/>
          <w:sz w:val="24"/>
          <w:szCs w:val="24"/>
          <w:rtl w:val="0"/>
          <w14:textFill>
            <w14:solidFill>
              <w14:srgbClr w14:val="222222"/>
            </w14:solidFill>
          </w14:textFill>
        </w:rPr>
        <w:t>(4), 643-655.</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en-US"/>
          <w14:textFill>
            <w14:solidFill>
              <w14:srgbClr w14:val="222222"/>
            </w14:solidFill>
          </w14:textFill>
        </w:rPr>
        <w:t>Salameh, M., Burney, Z., Mhaimeed, N., Laswi, I., Yousri, N. A., Bendriss, G., &amp; Zakaria, D. (2020). The role of gut microbiota in atopic asthma and allergy, implications in the understanding of disease pathogenesis.</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lang w:val="en-US"/>
          <w14:textFill>
            <w14:solidFill>
              <w14:srgbClr w14:val="222222"/>
            </w14:solidFill>
          </w14:textFill>
        </w:rPr>
        <w:t>Scandinavian journal of immunology</w:t>
      </w:r>
      <w:r>
        <w:rPr>
          <w:rFonts w:ascii="Arial" w:hAnsi="Arial"/>
          <w:outline w:val="0"/>
          <w:color w:val="222222"/>
          <w:shd w:val="clear" w:color="auto" w:fill="ffffff"/>
          <w:rtl w:val="0"/>
          <w14:textFill>
            <w14:solidFill>
              <w14:srgbClr w14:val="222222"/>
            </w14:solidFill>
          </w14:textFill>
        </w:rPr>
        <w:t>,</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14:textFill>
            <w14:solidFill>
              <w14:srgbClr w14:val="222222"/>
            </w14:solidFill>
          </w14:textFill>
        </w:rPr>
        <w:t>91</w:t>
      </w:r>
      <w:r>
        <w:rPr>
          <w:rFonts w:ascii="Arial" w:hAnsi="Arial"/>
          <w:outline w:val="0"/>
          <w:color w:val="222222"/>
          <w:shd w:val="clear" w:color="auto" w:fill="ffffff"/>
          <w:rtl w:val="0"/>
          <w14:textFill>
            <w14:solidFill>
              <w14:srgbClr w14:val="222222"/>
            </w14:solidFill>
          </w14:textFill>
        </w:rPr>
        <w:t>(3), e12855.</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r>
        <w:rPr>
          <w:rFonts w:ascii="Arial" w:hAnsi="Arial"/>
          <w:outline w:val="0"/>
          <w:color w:val="222222"/>
          <w:sz w:val="24"/>
          <w:szCs w:val="24"/>
          <w:rtl w:val="0"/>
          <w:lang w:val="en-US"/>
          <w14:textFill>
            <w14:solidFill>
              <w14:srgbClr w14:val="222222"/>
            </w14:solidFill>
          </w14:textFill>
        </w:rPr>
        <w:t>Slater, J., Joober, R., Koborsy, B. L., Mitchell, S., Sahlas, E., &amp; Palmer, C. (2022). Can electroencephalography (EEG) identify ADHD subtypes? A systematic review.</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lang w:val="en-US"/>
          <w14:textFill>
            <w14:solidFill>
              <w14:srgbClr w14:val="222222"/>
            </w14:solidFill>
          </w14:textFill>
        </w:rPr>
        <w:t>Neuroscience &amp; Biobehavioral Reviews</w:t>
      </w:r>
      <w:r>
        <w:rPr>
          <w:rFonts w:ascii="Arial" w:hAnsi="Arial"/>
          <w:outline w:val="0"/>
          <w:color w:val="222222"/>
          <w:sz w:val="24"/>
          <w:szCs w:val="24"/>
          <w:rtl w:val="0"/>
          <w14:textFill>
            <w14:solidFill>
              <w14:srgbClr w14:val="222222"/>
            </w14:solidFill>
          </w14:textFill>
        </w:rPr>
        <w:t>,</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14:textFill>
            <w14:solidFill>
              <w14:srgbClr w14:val="222222"/>
            </w14:solidFill>
          </w14:textFill>
        </w:rPr>
        <w:t>139</w:t>
      </w:r>
      <w:r>
        <w:rPr>
          <w:rFonts w:ascii="Arial" w:hAnsi="Arial"/>
          <w:outline w:val="0"/>
          <w:color w:val="222222"/>
          <w:sz w:val="24"/>
          <w:szCs w:val="24"/>
          <w:rtl w:val="0"/>
          <w14:textFill>
            <w14:solidFill>
              <w14:srgbClr w14:val="222222"/>
            </w14:solidFill>
          </w14:textFill>
        </w:rPr>
        <w:t>, 104752.</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r>
        <w:rPr>
          <w:rFonts w:ascii="Arial" w:hAnsi="Arial"/>
          <w:outline w:val="0"/>
          <w:color w:val="222222"/>
          <w:sz w:val="24"/>
          <w:szCs w:val="24"/>
          <w:rtl w:val="0"/>
          <w:lang w:val="en-US"/>
          <w14:textFill>
            <w14:solidFill>
              <w14:srgbClr w14:val="222222"/>
            </w14:solidFill>
          </w14:textFill>
        </w:rPr>
        <w:t>Stranges, T. N., Namchuk, A. B., Splinter, T. F., Moore, K. N., &amp; Galea, L. A. (2023). Are we moving the dial? Canadian health research funding trends for women</w:t>
      </w:r>
      <w:r>
        <w:rPr>
          <w:rFonts w:ascii="Arial" w:hAnsi="Arial" w:hint="default"/>
          <w:outline w:val="0"/>
          <w:color w:val="222222"/>
          <w:sz w:val="24"/>
          <w:szCs w:val="24"/>
          <w:rtl w:val="1"/>
          <w14:textFill>
            <w14:solidFill>
              <w14:srgbClr w14:val="222222"/>
            </w14:solidFill>
          </w14:textFill>
        </w:rPr>
        <w:t>’</w:t>
      </w:r>
      <w:r>
        <w:rPr>
          <w:rFonts w:ascii="Arial" w:hAnsi="Arial"/>
          <w:outline w:val="0"/>
          <w:color w:val="222222"/>
          <w:sz w:val="24"/>
          <w:szCs w:val="24"/>
          <w:rtl w:val="0"/>
          <w:lang w:val="en-US"/>
          <w14:textFill>
            <w14:solidFill>
              <w14:srgbClr w14:val="222222"/>
            </w14:solidFill>
          </w14:textFill>
        </w:rPr>
        <w:t>s health, 2S/LGBTQ+ health, sex, or gender considerations.</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lang w:val="en-US"/>
          <w14:textFill>
            <w14:solidFill>
              <w14:srgbClr w14:val="222222"/>
            </w14:solidFill>
          </w14:textFill>
        </w:rPr>
        <w:t>Biology of sex Differences</w:t>
      </w:r>
      <w:r>
        <w:rPr>
          <w:rFonts w:ascii="Arial" w:hAnsi="Arial"/>
          <w:outline w:val="0"/>
          <w:color w:val="222222"/>
          <w:sz w:val="24"/>
          <w:szCs w:val="24"/>
          <w:rtl w:val="0"/>
          <w14:textFill>
            <w14:solidFill>
              <w14:srgbClr w14:val="222222"/>
            </w14:solidFill>
          </w14:textFill>
        </w:rPr>
        <w:t>,</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14:textFill>
            <w14:solidFill>
              <w14:srgbClr w14:val="222222"/>
            </w14:solidFill>
          </w14:textFill>
        </w:rPr>
        <w:t>14</w:t>
      </w:r>
      <w:r>
        <w:rPr>
          <w:rFonts w:ascii="Arial" w:hAnsi="Arial"/>
          <w:outline w:val="0"/>
          <w:color w:val="222222"/>
          <w:sz w:val="24"/>
          <w:szCs w:val="24"/>
          <w:rtl w:val="0"/>
          <w14:textFill>
            <w14:solidFill>
              <w14:srgbClr w14:val="222222"/>
            </w14:solidFill>
          </w14:textFill>
        </w:rPr>
        <w:t xml:space="preserve">(1), </w:t>
      </w:r>
      <w:r>
        <w:rPr>
          <w:rFonts w:ascii="Arial" w:hAnsi="Arial"/>
          <w:outline w:val="0"/>
          <w:color w:val="222222"/>
          <w:sz w:val="24"/>
          <w:szCs w:val="24"/>
          <w:rtl w:val="0"/>
          <w:lang w:val="en-US"/>
          <w14:textFill>
            <w14:solidFill>
              <w14:srgbClr w14:val="222222"/>
            </w14:solidFill>
          </w14:textFill>
        </w:rPr>
        <w:t>40</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r>
        <w:rPr>
          <w:rFonts w:ascii="Arial" w:hAnsi="Arial"/>
          <w:outline w:val="0"/>
          <w:color w:val="222222"/>
          <w:sz w:val="24"/>
          <w:szCs w:val="24"/>
          <w:rtl w:val="0"/>
          <w:lang w:val="it-IT"/>
          <w14:textFill>
            <w14:solidFill>
              <w14:srgbClr w14:val="222222"/>
            </w14:solidFill>
          </w14:textFill>
        </w:rPr>
        <w:t xml:space="preserve">Steward, R., Crane, L., Roy, E. M., Remington, A., &amp; Pellicano, E. (2020). </w:t>
      </w:r>
      <w:r>
        <w:rPr>
          <w:rFonts w:ascii="Arial" w:hAnsi="Arial" w:hint="default"/>
          <w:outline w:val="0"/>
          <w:color w:val="222222"/>
          <w:sz w:val="24"/>
          <w:szCs w:val="24"/>
          <w:rtl w:val="1"/>
          <w:lang w:val="ar-SA" w:bidi="ar-SA"/>
          <w14:textFill>
            <w14:solidFill>
              <w14:srgbClr w14:val="222222"/>
            </w14:solidFill>
          </w14:textFill>
        </w:rPr>
        <w:t>“</w:t>
      </w:r>
      <w:r>
        <w:rPr>
          <w:rFonts w:ascii="Arial" w:hAnsi="Arial"/>
          <w:outline w:val="0"/>
          <w:color w:val="222222"/>
          <w:sz w:val="24"/>
          <w:szCs w:val="24"/>
          <w:rtl w:val="0"/>
          <w:lang w:val="en-US"/>
          <w14:textFill>
            <w14:solidFill>
              <w14:srgbClr w14:val="222222"/>
            </w14:solidFill>
          </w14:textFill>
        </w:rPr>
        <w:t>Life is much more difficult to manage during periods</w:t>
      </w:r>
      <w:r>
        <w:rPr>
          <w:rFonts w:ascii="Arial" w:hAnsi="Arial" w:hint="default"/>
          <w:outline w:val="0"/>
          <w:color w:val="222222"/>
          <w:sz w:val="24"/>
          <w:szCs w:val="24"/>
          <w:rtl w:val="0"/>
          <w14:textFill>
            <w14:solidFill>
              <w14:srgbClr w14:val="222222"/>
            </w14:solidFill>
          </w14:textFill>
        </w:rPr>
        <w:t>”</w:t>
      </w:r>
      <w:r>
        <w:rPr>
          <w:rFonts w:ascii="Arial" w:hAnsi="Arial"/>
          <w:outline w:val="0"/>
          <w:color w:val="222222"/>
          <w:sz w:val="24"/>
          <w:szCs w:val="24"/>
          <w:rtl w:val="0"/>
          <w:lang w:val="en-US"/>
          <w14:textFill>
            <w14:solidFill>
              <w14:srgbClr w14:val="222222"/>
            </w14:solidFill>
          </w14:textFill>
        </w:rPr>
        <w:t>: autistic experiences of menstruation.</w:t>
      </w:r>
      <w:r>
        <w:rPr>
          <w:rFonts w:ascii="Arial" w:hAnsi="Arial" w:hint="default"/>
          <w:outline w:val="0"/>
          <w:color w:val="222222"/>
          <w:sz w:val="24"/>
          <w:szCs w:val="24"/>
          <w:rtl w:val="0"/>
          <w14:textFill>
            <w14:solidFill>
              <w14:srgbClr w14:val="222222"/>
            </w14:solidFill>
          </w14:textFill>
        </w:rPr>
        <w:t> </w:t>
      </w:r>
      <w:r>
        <w:rPr>
          <w:rFonts w:ascii="Arial" w:hAnsi="Arial"/>
          <w:i w:val="1"/>
          <w:iCs w:val="1"/>
          <w:outline w:val="0"/>
          <w:color w:val="222222"/>
          <w:sz w:val="24"/>
          <w:szCs w:val="24"/>
          <w:rtl w:val="0"/>
          <w:lang w:val="en-US"/>
          <w14:textFill>
            <w14:solidFill>
              <w14:srgbClr w14:val="222222"/>
            </w14:solidFill>
          </w14:textFill>
        </w:rPr>
        <w:t>The Palgrave Handbook of Critical Menstruation Studies</w:t>
      </w:r>
      <w:r>
        <w:rPr>
          <w:rFonts w:ascii="Arial" w:hAnsi="Arial"/>
          <w:outline w:val="0"/>
          <w:color w:val="222222"/>
          <w:sz w:val="24"/>
          <w:szCs w:val="24"/>
          <w:rtl w:val="0"/>
          <w14:textFill>
            <w14:solidFill>
              <w14:srgbClr w14:val="222222"/>
            </w14:solidFill>
          </w14:textFill>
        </w:rPr>
        <w:t>, 751-761.</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en-US"/>
          <w14:textFill>
            <w14:solidFill>
              <w14:srgbClr w14:val="222222"/>
            </w14:solidFill>
          </w14:textFill>
        </w:rPr>
        <w:t>Taylor, M. J., Charman, T., &amp; Ronald, A. (2015). Where are the strongest associations between autistic traits and traits of ADHD? Evidence from a community-based twin study.</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lang w:val="en-US"/>
          <w14:textFill>
            <w14:solidFill>
              <w14:srgbClr w14:val="222222"/>
            </w14:solidFill>
          </w14:textFill>
        </w:rPr>
        <w:t>European child &amp; adolescent psychiatry</w:t>
      </w:r>
      <w:r>
        <w:rPr>
          <w:rFonts w:ascii="Arial" w:hAnsi="Arial"/>
          <w:outline w:val="0"/>
          <w:color w:val="222222"/>
          <w:shd w:val="clear" w:color="auto" w:fill="ffffff"/>
          <w:rtl w:val="0"/>
          <w14:textFill>
            <w14:solidFill>
              <w14:srgbClr w14:val="222222"/>
            </w14:solidFill>
          </w14:textFill>
        </w:rPr>
        <w:t>,</w:t>
      </w:r>
      <w:r>
        <w:rPr>
          <w:rFonts w:ascii="Arial" w:hAnsi="Arial" w:hint="default"/>
          <w:outline w:val="0"/>
          <w:color w:val="222222"/>
          <w:shd w:val="clear" w:color="auto" w:fill="ffffff"/>
          <w:rtl w:val="0"/>
          <w14:textFill>
            <w14:solidFill>
              <w14:srgbClr w14:val="222222"/>
            </w14:solidFill>
          </w14:textFill>
        </w:rPr>
        <w:t> </w:t>
      </w:r>
      <w:r>
        <w:rPr>
          <w:rFonts w:ascii="Arial" w:hAnsi="Arial"/>
          <w:i w:val="1"/>
          <w:iCs w:val="1"/>
          <w:outline w:val="0"/>
          <w:color w:val="222222"/>
          <w:shd w:val="clear" w:color="auto" w:fill="ffffff"/>
          <w:rtl w:val="0"/>
          <w14:textFill>
            <w14:solidFill>
              <w14:srgbClr w14:val="222222"/>
            </w14:solidFill>
          </w14:textFill>
        </w:rPr>
        <w:t>24</w:t>
      </w:r>
      <w:r>
        <w:rPr>
          <w:rFonts w:ascii="Arial" w:hAnsi="Arial"/>
          <w:outline w:val="0"/>
          <w:color w:val="222222"/>
          <w:shd w:val="clear" w:color="auto" w:fill="ffffff"/>
          <w:rtl w:val="0"/>
          <w14:textFill>
            <w14:solidFill>
              <w14:srgbClr w14:val="222222"/>
            </w14:solidFill>
          </w14:textFill>
        </w:rPr>
        <w:t>, 1129-1138.</w:t>
      </w: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Table Style 2"/>
        <w:bidi w:val="0"/>
        <w:spacing w:line="480" w:lineRule="auto"/>
        <w:ind w:left="0" w:right="0" w:firstLine="0"/>
        <w:jc w:val="both"/>
        <w:rPr>
          <w:rFonts w:ascii="Arial" w:cs="Arial" w:hAnsi="Arial" w:eastAsia="Arial"/>
          <w:outline w:val="0"/>
          <w:color w:val="222222"/>
          <w:sz w:val="24"/>
          <w:szCs w:val="24"/>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r>
        <w:rPr>
          <w:rFonts w:ascii="Arial" w:hAnsi="Arial"/>
          <w:u w:color="000000"/>
          <w:rtl w:val="0"/>
          <w:lang w:val="en-US"/>
          <w14:textOutline w14:w="12700" w14:cap="flat">
            <w14:noFill/>
            <w14:miter w14:lim="400000"/>
          </w14:textOutline>
        </w:rPr>
        <w:t>Taylor, M. R., Boden, J. M., &amp; Rucklidge, J. J. (2014). The relationship between ADHD symptomatology and self-harm, suicidal ideation, and suicidal behaviours in adults: a pilot study.</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r>
        <w:rPr>
          <w:rFonts w:ascii="Arial" w:hAnsi="Arial"/>
          <w:u w:color="000000"/>
          <w:rtl w:val="0"/>
          <w:lang w:val="en-US"/>
          <w14:textOutline w14:w="12700" w14:cap="flat">
            <w14:noFill/>
            <w14:miter w14:lim="400000"/>
          </w14:textOutline>
        </w:rPr>
        <w:t>Weir, E., Allison, C., Warrier, V., &amp; Baron-Cohen, S. (2021). Increased prevalence of non-communicable physical health conditions among autistic adults.</w:t>
      </w:r>
      <w:r>
        <w:rPr>
          <w:rFonts w:ascii="Arial" w:hAnsi="Arial" w:hint="default"/>
          <w:u w:color="000000"/>
          <w:rtl w:val="0"/>
          <w:lang w:val="en-US"/>
          <w14:textOutline w14:w="12700" w14:cap="flat">
            <w14:noFill/>
            <w14:miter w14:lim="400000"/>
          </w14:textOutline>
        </w:rPr>
        <w:t> </w:t>
      </w:r>
      <w:r>
        <w:rPr>
          <w:rFonts w:ascii="Arial" w:hAnsi="Arial"/>
          <w:i w:val="1"/>
          <w:iCs w:val="1"/>
          <w:u w:color="000000"/>
          <w:rtl w:val="0"/>
          <w:lang w:val="en-US"/>
          <w14:textOutline w14:w="12700" w14:cap="flat">
            <w14:noFill/>
            <w14:miter w14:lim="400000"/>
          </w14:textOutline>
        </w:rPr>
        <w:t>Autism: the international journal of research and practice</w:t>
      </w:r>
      <w:r>
        <w:rPr>
          <w:rFonts w:ascii="Arial" w:hAnsi="Arial"/>
          <w:u w:color="000000"/>
          <w:rtl w:val="0"/>
          <w:lang w:val="en-US"/>
          <w14:textOutline w14:w="12700" w14:cap="flat">
            <w14:noFill/>
            <w14:miter w14:lim="400000"/>
          </w14:textOutline>
        </w:rPr>
        <w:t>,</w:t>
      </w:r>
      <w:r>
        <w:rPr>
          <w:rFonts w:ascii="Arial" w:hAnsi="Arial" w:hint="default"/>
          <w:u w:color="000000"/>
          <w:rtl w:val="0"/>
          <w:lang w:val="en-US"/>
          <w14:textOutline w14:w="12700" w14:cap="flat">
            <w14:noFill/>
            <w14:miter w14:lim="400000"/>
          </w14:textOutline>
        </w:rPr>
        <w:t> </w:t>
      </w:r>
      <w:r>
        <w:rPr>
          <w:rFonts w:ascii="Arial" w:hAnsi="Arial"/>
          <w:i w:val="1"/>
          <w:iCs w:val="1"/>
          <w:u w:color="000000"/>
          <w:rtl w:val="0"/>
          <w:lang w:val="en-US"/>
          <w14:textOutline w14:w="12700" w14:cap="flat">
            <w14:noFill/>
            <w14:miter w14:lim="400000"/>
          </w14:textOutline>
        </w:rPr>
        <w:t>25</w:t>
      </w:r>
      <w:r>
        <w:rPr>
          <w:rFonts w:ascii="Arial" w:hAnsi="Arial"/>
          <w:u w:color="000000"/>
          <w:rtl w:val="0"/>
          <w:lang w:val="en-US"/>
          <w14:textOutline w14:w="12700" w14:cap="flat">
            <w14:noFill/>
            <w14:miter w14:lim="400000"/>
          </w14:textOutline>
        </w:rPr>
        <w:t>(3), 681.</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da-DK"/>
          <w14:textFill>
            <w14:solidFill>
              <w14:srgbClr w14:val="222222"/>
            </w14:solidFill>
          </w14:textFill>
        </w:rPr>
        <w:t>Westergaard, D., Moseley, P., S</w:t>
      </w:r>
      <w:r>
        <w:rPr>
          <w:rFonts w:ascii="Arial" w:hAnsi="Arial" w:hint="default"/>
          <w:outline w:val="0"/>
          <w:color w:val="222222"/>
          <w:shd w:val="clear" w:color="auto" w:fill="ffffff"/>
          <w:rtl w:val="0"/>
          <w:lang w:val="da-DK"/>
          <w14:textFill>
            <w14:solidFill>
              <w14:srgbClr w14:val="222222"/>
            </w14:solidFill>
          </w14:textFill>
        </w:rPr>
        <w:t>ø</w:t>
      </w:r>
      <w:r>
        <w:rPr>
          <w:rFonts w:ascii="Arial" w:hAnsi="Arial"/>
          <w:outline w:val="0"/>
          <w:color w:val="222222"/>
          <w:shd w:val="clear" w:color="auto" w:fill="ffffff"/>
          <w:rtl w:val="0"/>
          <w:lang w:val="en-US"/>
          <w14:textFill>
            <w14:solidFill>
              <w14:srgbClr w14:val="222222"/>
            </w14:solidFill>
          </w14:textFill>
        </w:rPr>
        <w:t xml:space="preserve">rup, F. K. H., Baldi, P., &amp; Brunak, S. (2019). Population-wide analysis of differences in disease progression patterns in men and women. </w:t>
      </w:r>
      <w:r>
        <w:rPr>
          <w:rFonts w:ascii="Arial" w:hAnsi="Arial"/>
          <w:i w:val="1"/>
          <w:iCs w:val="1"/>
          <w:outline w:val="0"/>
          <w:color w:val="222222"/>
          <w:shd w:val="clear" w:color="auto" w:fill="ffffff"/>
          <w:rtl w:val="0"/>
          <w:lang w:val="fr-FR"/>
          <w14:textFill>
            <w14:solidFill>
              <w14:srgbClr w14:val="222222"/>
            </w14:solidFill>
          </w14:textFill>
        </w:rPr>
        <w:t>Nature communications</w:t>
      </w:r>
      <w:r>
        <w:rPr>
          <w:rFonts w:ascii="Arial" w:hAnsi="Arial"/>
          <w:outline w:val="0"/>
          <w:color w:val="222222"/>
          <w:shd w:val="clear" w:color="auto" w:fill="ffffff"/>
          <w:rtl w:val="0"/>
          <w14:textFill>
            <w14:solidFill>
              <w14:srgbClr w14:val="222222"/>
            </w14:solidFill>
          </w14:textFill>
        </w:rPr>
        <w:t xml:space="preserve">, </w:t>
      </w:r>
      <w:r>
        <w:rPr>
          <w:rFonts w:ascii="Arial" w:hAnsi="Arial"/>
          <w:i w:val="1"/>
          <w:iCs w:val="1"/>
          <w:outline w:val="0"/>
          <w:color w:val="222222"/>
          <w:shd w:val="clear" w:color="auto" w:fill="ffffff"/>
          <w:rtl w:val="0"/>
          <w14:textFill>
            <w14:solidFill>
              <w14:srgbClr w14:val="222222"/>
            </w14:solidFill>
          </w14:textFill>
        </w:rPr>
        <w:t>10</w:t>
      </w:r>
      <w:r>
        <w:rPr>
          <w:rFonts w:ascii="Arial" w:hAnsi="Arial"/>
          <w:outline w:val="0"/>
          <w:color w:val="222222"/>
          <w:shd w:val="clear" w:color="auto" w:fill="ffffff"/>
          <w:rtl w:val="0"/>
          <w14:textFill>
            <w14:solidFill>
              <w14:srgbClr w14:val="222222"/>
            </w14:solidFill>
          </w14:textFill>
        </w:rPr>
        <w:t>(1), 666.</w:t>
      </w:r>
    </w:p>
    <w:p>
      <w:pPr>
        <w:pStyle w:val="Default"/>
        <w:bidi w:val="0"/>
        <w:spacing w:before="0" w:line="480" w:lineRule="auto"/>
        <w:ind w:left="0" w:right="0" w:firstLine="0"/>
        <w:jc w:val="both"/>
        <w:rPr>
          <w:rFonts w:ascii="Arial" w:cs="Arial" w:hAnsi="Arial" w:eastAsia="Arial"/>
          <w:u w:color="000000"/>
          <w:rtl w:val="0"/>
          <w:lang w:val="en-US"/>
          <w14:textOutline w14:w="12700" w14:cap="flat">
            <w14:noFill/>
            <w14:miter w14:lim="400000"/>
          </w14:textOutline>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r>
        <w:rPr>
          <w:rFonts w:ascii="Arial" w:hAnsi="Arial"/>
          <w:outline w:val="0"/>
          <w:color w:val="222222"/>
          <w:shd w:val="clear" w:color="auto" w:fill="ffffff"/>
          <w:rtl w:val="0"/>
          <w:lang w:val="en-US"/>
          <w14:textFill>
            <w14:solidFill>
              <w14:srgbClr w14:val="222222"/>
            </w14:solidFill>
          </w14:textFill>
        </w:rPr>
        <w:t xml:space="preserve">Yagi, S., Splinter, J. E., Tai, D., Wong, S., Wen, Y., &amp; Galea, L. A. (2020). Sex differences in maturation and attrition of adult neurogenesis in the hippocampus. </w:t>
      </w:r>
      <w:r>
        <w:rPr>
          <w:rFonts w:ascii="Arial" w:hAnsi="Arial"/>
          <w:i w:val="1"/>
          <w:iCs w:val="1"/>
          <w:outline w:val="0"/>
          <w:color w:val="222222"/>
          <w:shd w:val="clear" w:color="auto" w:fill="ffffff"/>
          <w:rtl w:val="0"/>
          <w:lang w:val="fr-FR"/>
          <w14:textFill>
            <w14:solidFill>
              <w14:srgbClr w14:val="222222"/>
            </w14:solidFill>
          </w14:textFill>
        </w:rPr>
        <w:t>Eneuro</w:t>
      </w:r>
      <w:r>
        <w:rPr>
          <w:rFonts w:ascii="Arial" w:hAnsi="Arial"/>
          <w:outline w:val="0"/>
          <w:color w:val="222222"/>
          <w:shd w:val="clear" w:color="auto" w:fill="ffffff"/>
          <w:rtl w:val="0"/>
          <w14:textFill>
            <w14:solidFill>
              <w14:srgbClr w14:val="222222"/>
            </w14:solidFill>
          </w14:textFill>
        </w:rPr>
        <w:t xml:space="preserve">, </w:t>
      </w:r>
      <w:r>
        <w:rPr>
          <w:rFonts w:ascii="Arial" w:hAnsi="Arial"/>
          <w:i w:val="1"/>
          <w:iCs w:val="1"/>
          <w:outline w:val="0"/>
          <w:color w:val="222222"/>
          <w:shd w:val="clear" w:color="auto" w:fill="ffffff"/>
          <w:rtl w:val="0"/>
          <w14:textFill>
            <w14:solidFill>
              <w14:srgbClr w14:val="222222"/>
            </w14:solidFill>
          </w14:textFill>
        </w:rPr>
        <w:t>7</w:t>
      </w:r>
      <w:r>
        <w:rPr>
          <w:rFonts w:ascii="Arial" w:hAnsi="Arial"/>
          <w:outline w:val="0"/>
          <w:color w:val="222222"/>
          <w:shd w:val="clear" w:color="auto" w:fill="ffffff"/>
          <w:rtl w:val="0"/>
          <w14:textFill>
            <w14:solidFill>
              <w14:srgbClr w14:val="222222"/>
            </w14:solidFill>
          </w14:textFill>
        </w:rPr>
        <w:t>(4).</w:t>
      </w:r>
    </w:p>
    <w:p>
      <w:pPr>
        <w:pStyle w:val="Default"/>
        <w:bidi w:val="0"/>
        <w:spacing w:before="0" w:line="480" w:lineRule="auto"/>
        <w:ind w:left="0" w:right="0" w:firstLine="0"/>
        <w:jc w:val="both"/>
        <w:rPr>
          <w:rFonts w:ascii="Arial" w:cs="Arial" w:hAnsi="Arial" w:eastAsia="Arial"/>
          <w:outline w:val="0"/>
          <w:color w:val="1f1f1f"/>
          <w:rtl w:val="0"/>
          <w14:textFill>
            <w14:solidFill>
              <w14:srgbClr w14:val="1F1F1F"/>
            </w14:solidFill>
          </w14:textFill>
        </w:rPr>
      </w:pPr>
    </w:p>
    <w:p>
      <w:pPr>
        <w:pStyle w:val="Default"/>
        <w:bidi w:val="0"/>
        <w:spacing w:before="0" w:line="480" w:lineRule="auto"/>
        <w:ind w:left="0" w:right="0" w:firstLine="0"/>
        <w:jc w:val="both"/>
        <w:rPr>
          <w:rFonts w:ascii="Arial" w:cs="Arial" w:hAnsi="Arial" w:eastAsia="Arial"/>
          <w:outline w:val="0"/>
          <w:color w:val="222222"/>
          <w:shd w:val="clear" w:color="auto" w:fill="ffffff"/>
          <w:rtl w:val="0"/>
          <w14:textFill>
            <w14:solidFill>
              <w14:srgbClr w14:val="222222"/>
            </w14:solidFill>
          </w14:textFill>
        </w:rPr>
      </w:pPr>
    </w:p>
    <w:p>
      <w:pPr>
        <w:pStyle w:val="Body"/>
        <w:spacing w:line="480" w:lineRule="auto"/>
        <w:jc w:val="both"/>
        <w:rPr>
          <w:rFonts w:ascii="Arial" w:cs="Arial" w:hAnsi="Arial" w:eastAsia="Arial"/>
          <w:sz w:val="24"/>
          <w:szCs w:val="24"/>
        </w:rPr>
      </w:pPr>
    </w:p>
    <w:p>
      <w:pPr>
        <w:pStyle w:val="Default"/>
        <w:bidi w:val="0"/>
        <w:spacing w:before="0" w:line="480" w:lineRule="auto"/>
        <w:ind w:left="0" w:right="0" w:firstLine="0"/>
        <w:jc w:val="both"/>
        <w:rPr>
          <w:rFonts w:ascii="Arial" w:cs="Arial" w:hAnsi="Arial" w:eastAsia="Arial"/>
          <w:outline w:val="0"/>
          <w:color w:val="222222"/>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222222"/>
          <w:rtl w:val="0"/>
          <w14:textFill>
            <w14:solidFill>
              <w14:srgbClr w14:val="222222"/>
            </w14:solidFill>
          </w14:textFill>
        </w:rPr>
      </w:pPr>
    </w:p>
    <w:p>
      <w:pPr>
        <w:pStyle w:val="Default"/>
        <w:bidi w:val="0"/>
        <w:spacing w:before="0" w:line="480" w:lineRule="auto"/>
        <w:ind w:left="0" w:right="0" w:firstLine="0"/>
        <w:jc w:val="both"/>
        <w:rPr>
          <w:rFonts w:ascii="Arial" w:cs="Arial" w:hAnsi="Arial" w:eastAsia="Arial"/>
          <w:outline w:val="0"/>
          <w:color w:val="1f1f1f"/>
          <w:rtl w:val="0"/>
          <w14:textFill>
            <w14:solidFill>
              <w14:srgbClr w14:val="1F1F1F"/>
            </w14:solidFill>
          </w14:textFill>
        </w:rPr>
      </w:pPr>
    </w:p>
    <w:p>
      <w:pPr>
        <w:pStyle w:val="Default"/>
        <w:bidi w:val="0"/>
        <w:spacing w:before="0" w:line="480" w:lineRule="auto"/>
        <w:ind w:left="0" w:right="0" w:firstLine="0"/>
        <w:jc w:val="both"/>
        <w:rPr>
          <w:rFonts w:ascii="Arial" w:cs="Arial" w:hAnsi="Arial" w:eastAsia="Arial"/>
          <w:rtl w:val="0"/>
        </w:rPr>
      </w:pPr>
    </w:p>
    <w:p>
      <w:pPr>
        <w:pStyle w:val="Default"/>
        <w:bidi w:val="0"/>
        <w:spacing w:before="0" w:line="480" w:lineRule="auto"/>
        <w:ind w:left="0" w:right="0" w:firstLine="0"/>
        <w:jc w:val="both"/>
        <w:rPr>
          <w:rtl w:val="0"/>
        </w:rPr>
      </w:pPr>
      <w:r>
        <w:rPr>
          <w:rFonts w:ascii="Arial" w:cs="Arial" w:hAnsi="Arial" w:eastAsia="Arial"/>
          <w:outline w:val="0"/>
          <w:color w:val="1f1f1f"/>
          <w:rtl w:val="0"/>
          <w14:textFill>
            <w14:solidFill>
              <w14:srgbClr w14:val="1F1F1F"/>
            </w14:solidFill>
          </w14:textFill>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