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spacing w:line="480" w:lineRule="auto"/>
        <w:rPr>
          <w:rFonts w:ascii="Arial" w:hAnsi="Arial"/>
        </w:rPr>
      </w:pPr>
    </w:p>
    <w:p>
      <w:pPr>
        <w:pStyle w:val="Body A"/>
        <w:spacing w:line="480" w:lineRule="auto"/>
        <w:rPr>
          <w:rFonts w:ascii="Arial" w:cs="Arial" w:hAnsi="Arial" w:eastAsia="Arial"/>
        </w:rPr>
      </w:pPr>
      <w:r>
        <w:rPr>
          <w:rFonts w:ascii="Arial" w:hAnsi="Arial"/>
          <w:rtl w:val="0"/>
          <w:lang w:val="en-US"/>
        </w:rPr>
        <w:t>Does couples therapy training have appropriate neurodivergent material?</w:t>
      </w:r>
    </w:p>
    <w:p>
      <w:pPr>
        <w:pStyle w:val="Body A"/>
        <w:spacing w:line="480" w:lineRule="auto"/>
        <w:rPr>
          <w:rFonts w:ascii="Arial" w:cs="Arial" w:hAnsi="Arial" w:eastAsia="Arial"/>
        </w:rPr>
      </w:pP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The author enrolled on a 2-year postgraduate diploma in Relationship Therapy in 2013. Throughout that high academic standard of training, there was no reference to neurodivergence. As a couples therapist for over 10 years and having encountered neurodivergence in a vast number of clients, this led to question of why with such a significant proportion of the population having some form of neurodivergence, with estimated rates of autism spectrum condition (ASC) being a minimum of 1% (WHO, Mar 2022), there was no reference to this subject matter throughout the course.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This assignment aims to identify what gaps there are in service provision within couples therapy, and highlight some changes that are necessary to ensure a couples counsellor is competent to work with this client group.  The assignment will highlight some issues within current practice and make recommendations that one suggests would need to be made in order to make the service accessible to ASC clients.  Within it are some gold standards which one attempts to justify, which in best practice would be offered to ensure equality and accessibility.</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The first gold standard would be the inclusion of neurodiversity (specifically for this assignment Autism) as a separate and integral component of relational training.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By reviewing the course content of the top 11 providers on Google, ranging from one-day continued professional development (CPD) courses, to levels 4, 5, 6 and 7 accredited courses representing both undergraduate and postgraduate academic levels of study (Appendix 1), it was established that only one provider, The Human Givens College, 2022, made any reference to autism (labelled Asperger's syndrome in the course content which indicates an outdated knowledge base in itself) and alluded to covering this subject.  However, this course is a one-day CPD course aiming to up-skill counsellors who work predominantly with individuals to enable them to work with couples and is not an accredited course.  Therefore the training attempts to incorporate into one day's learning what accredited programmes offer over 1 - 3 years of study, and these providers do not cover ASC as part of their foundation training.   This leads to the question of how in-depth the training would be across the relevant subject matter, how much attention is dedicated to 'Aspergers syndrome</w:t>
      </w:r>
      <w:r>
        <w:rPr>
          <w:rFonts w:ascii="Arial" w:hAnsi="Arial" w:hint="default"/>
          <w:rtl w:val="0"/>
          <w:lang w:val="en-US"/>
        </w:rPr>
        <w:t xml:space="preserve">’ </w:t>
      </w:r>
      <w:r>
        <w:rPr>
          <w:rFonts w:ascii="Arial" w:hAnsi="Arial"/>
          <w:rtl w:val="0"/>
          <w:lang w:val="en-US"/>
        </w:rPr>
        <w:t>and how effective this would be in equipping any potential couples therapist in understanding ASC, its impact on the couple's relationship and in developing competence to work with this client group in a well-informed manner.</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If the top providers across the country that have the </w:t>
      </w:r>
      <w:r>
        <w:rPr>
          <w:rFonts w:ascii="Arial" w:hAnsi="Arial" w:hint="default"/>
          <w:rtl w:val="0"/>
          <w:lang w:val="en-US"/>
        </w:rPr>
        <w:t>‘</w:t>
      </w:r>
      <w:r>
        <w:rPr>
          <w:rFonts w:ascii="Arial" w:hAnsi="Arial"/>
          <w:rtl w:val="0"/>
          <w:lang w:val="en-US"/>
        </w:rPr>
        <w:t>brand' or are deemed experts in the field (e.g.  Relate, The Tavistock Centre) do not Cover ASC in their lengthy post-grad courses one questions whether the lesser training providers offering shorter courses would cover it in any great detail, if at all, as research so far has ascertained.  Therefore, no couples therapy course researched would suitably equip any potential couple</w:t>
      </w:r>
      <w:r>
        <w:rPr>
          <w:rFonts w:ascii="Arial" w:hAnsi="Arial" w:hint="default"/>
          <w:rtl w:val="0"/>
          <w:lang w:val="en-US"/>
        </w:rPr>
        <w:t>’</w:t>
      </w:r>
      <w:r>
        <w:rPr>
          <w:rFonts w:ascii="Arial" w:hAnsi="Arial"/>
          <w:rtl w:val="0"/>
          <w:lang w:val="en-US"/>
        </w:rPr>
        <w:t>s therapist to understand autism sufficiently.</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This is important because viewing autistic people as a homogenous group is unhelpful to the clients and does not accurately represent their diversity.  Within ASC there is as much diversity as there is within the neurotypical (NT) population. This diversity has driven the move away from a sliding scale of ASC ranging from mild to severe to an acknowledgement that ASC persons have what is known as </w:t>
      </w:r>
      <w:r>
        <w:rPr>
          <w:rFonts w:ascii="Arial" w:hAnsi="Arial" w:hint="default"/>
          <w:rtl w:val="0"/>
          <w:lang w:val="en-US"/>
        </w:rPr>
        <w:t>‘</w:t>
      </w:r>
      <w:r>
        <w:rPr>
          <w:rFonts w:ascii="Arial" w:hAnsi="Arial"/>
          <w:rtl w:val="0"/>
          <w:lang w:val="en-US"/>
        </w:rPr>
        <w:t>spiky profiles</w:t>
      </w:r>
      <w:r>
        <w:rPr>
          <w:rFonts w:ascii="Arial" w:hAnsi="Arial" w:hint="default"/>
          <w:rtl w:val="0"/>
          <w:lang w:val="en-US"/>
        </w:rPr>
        <w:t xml:space="preserve">’ </w:t>
      </w:r>
      <w:r>
        <w:rPr>
          <w:rFonts w:ascii="Arial" w:hAnsi="Arial"/>
          <w:rtl w:val="0"/>
          <w:lang w:val="en-US"/>
        </w:rPr>
        <w:t xml:space="preserve">(Milton, 2012; Frith,1994), illustrating a strengths and weaknesses model that is tailored to individuals and is more person-centred than the previous model.  The sliding scale model however is still used, largely within the learning disability (LD) support community (The Place for Children with Autism, 2021). This is because much of the training available to practitioners stems from the LD movement where there are distinctions in place to indicate the level of support a person may need with high-functioning autism at the far end of the spectrum, indicating little or no support needs. As recently as 2019 the </w:t>
      </w:r>
      <w:r>
        <w:rPr>
          <w:rFonts w:ascii="Arial" w:hAnsi="Arial" w:hint="default"/>
          <w:rtl w:val="0"/>
          <w:lang w:val="en-US"/>
        </w:rPr>
        <w:t>‘</w:t>
      </w:r>
      <w:r>
        <w:rPr>
          <w:rFonts w:ascii="Arial" w:hAnsi="Arial"/>
          <w:rtl w:val="0"/>
          <w:lang w:val="en-US"/>
        </w:rPr>
        <w:t>SEN</w:t>
      </w:r>
      <w:r>
        <w:rPr>
          <w:rFonts w:ascii="Arial" w:hAnsi="Arial" w:hint="default"/>
          <w:rtl w:val="0"/>
          <w:lang w:val="en-US"/>
        </w:rPr>
        <w:t xml:space="preserve">’ </w:t>
      </w:r>
      <w:r>
        <w:rPr>
          <w:rFonts w:ascii="Arial" w:hAnsi="Arial"/>
          <w:rtl w:val="0"/>
          <w:lang w:val="en-US"/>
        </w:rPr>
        <w:t>magazine (Barnes, 2019) wrote an article on high-functioning autism.  In fact, outside of the LD support community there is very little access to ASC training and certainly no training could be identified detailing how to support outwardly functioning employed people. In reality, the term autistic spectrum condition which is still commonly used in itself infers a sliding scale so may in fact further embed stereotypes in the public</w:t>
      </w:r>
      <w:r>
        <w:rPr>
          <w:rFonts w:ascii="Arial" w:hAnsi="Arial" w:hint="default"/>
          <w:rtl w:val="0"/>
          <w:lang w:val="en-US"/>
        </w:rPr>
        <w:t>’</w:t>
      </w:r>
      <w:r>
        <w:rPr>
          <w:rFonts w:ascii="Arial" w:hAnsi="Arial"/>
          <w:rtl w:val="0"/>
          <w:lang w:val="en-US"/>
        </w:rPr>
        <w:t xml:space="preserve">s eyes.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Stereotypes exist for a reason.  The human mind has evolved what is known as cognitive bias (Haselton et al., 2005).  The purpose of cognitive bias is to provide humans with shortcuts to deal with situations based on </w:t>
      </w:r>
      <w:r>
        <w:rPr>
          <w:rFonts w:ascii="Arial" w:hAnsi="Arial" w:hint="default"/>
          <w:rtl w:val="0"/>
          <w:lang w:val="en-US"/>
        </w:rPr>
        <w:t>‘</w:t>
      </w:r>
      <w:r>
        <w:rPr>
          <w:rFonts w:ascii="Arial" w:hAnsi="Arial"/>
          <w:rtl w:val="0"/>
          <w:lang w:val="en-US"/>
        </w:rPr>
        <w:t>normative</w:t>
      </w:r>
      <w:r>
        <w:rPr>
          <w:rFonts w:ascii="Arial" w:hAnsi="Arial" w:hint="default"/>
          <w:rtl w:val="0"/>
          <w:lang w:val="en-US"/>
        </w:rPr>
        <w:t xml:space="preserve">’ </w:t>
      </w:r>
      <w:r>
        <w:rPr>
          <w:rFonts w:ascii="Arial" w:hAnsi="Arial"/>
          <w:rtl w:val="0"/>
          <w:lang w:val="en-US"/>
        </w:rPr>
        <w:t>expectations.  However, many stereotypes can be misleading and harmful. With reference to the autistic community, the stereotypes that exist are largely very disabled individuals or individuals with savant skills. This is fed largely by the media and can be reinforced by some of the training available (</w:t>
      </w:r>
      <w:r>
        <w:rPr>
          <w:rFonts w:ascii="Arial" w:hAnsi="Arial"/>
          <w:rtl w:val="0"/>
          <w:lang w:val="nl-NL"/>
        </w:rPr>
        <w:t>Draaisma, 2009</w:t>
      </w:r>
      <w:r>
        <w:rPr>
          <w:rFonts w:ascii="Arial" w:hAnsi="Arial"/>
          <w:rtl w:val="0"/>
          <w:lang w:val="en-US"/>
        </w:rPr>
        <w:t xml:space="preserve">;  Thompson-Hodgetts et al., 2020).  There is little portrayal of ordinary autistic people living ordinary autistic lives.  Most people are unaware of their own cognitive biases, and therefore have no concept of the impact stereotypes have on their thinking. Therapists, on the other hand, are trained to question any stereotypes they may have. Unfortunately, our cognitive biases usually sit in our </w:t>
      </w:r>
      <w:r>
        <w:rPr>
          <w:rFonts w:ascii="Arial" w:hAnsi="Arial" w:hint="default"/>
          <w:rtl w:val="0"/>
          <w:lang w:val="en-US"/>
        </w:rPr>
        <w:t>‘</w:t>
      </w:r>
      <w:r>
        <w:rPr>
          <w:rFonts w:ascii="Arial" w:hAnsi="Arial"/>
          <w:rtl w:val="0"/>
          <w:lang w:val="en-US"/>
        </w:rPr>
        <w:t>blindspots</w:t>
      </w:r>
      <w:r>
        <w:rPr>
          <w:rFonts w:ascii="Arial" w:hAnsi="Arial" w:hint="default"/>
          <w:rtl w:val="0"/>
          <w:lang w:val="en-US"/>
        </w:rPr>
        <w:t xml:space="preserve">’ </w:t>
      </w:r>
      <w:r>
        <w:rPr>
          <w:rFonts w:ascii="Arial" w:hAnsi="Arial"/>
          <w:rtl w:val="0"/>
          <w:lang w:val="en-US"/>
        </w:rPr>
        <w:t xml:space="preserve">so without the assistance of another critical brain (the clinical supervisor-which will be discussed further in this assignment) one cannot be aware of these biases. However, even if the therapist does undertake training in autism, unless it is of a sufficiently high standard, the therapist may fall victim to the Dunning-Kruger effect (Dunning, 1999) believing their training makes them an expert on the subject, which is unlikely to be true having undergone any of the training aimed at LD support.  Thus without adequate training, stereotypes may be inadvertently influencing the therapist's judgement.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This highlights the question of what should be included in training for a couples therapist in order to work effectively and inclusively with ASC clients.  Firstly there should perhaps be acknowledgement of the stereotypes mentioned above and some education around dispelling the myths surrounding autism (</w:t>
      </w:r>
      <w:r>
        <w:rPr>
          <w:rFonts w:ascii="Arial" w:hAnsi="Arial"/>
          <w:rtl w:val="0"/>
          <w:lang w:val="da-DK"/>
        </w:rPr>
        <w:t>Aarons &amp; Gittens</w:t>
      </w:r>
      <w:r>
        <w:rPr>
          <w:rFonts w:ascii="Arial" w:hAnsi="Arial"/>
          <w:rtl w:val="0"/>
          <w:lang w:val="en-US"/>
        </w:rPr>
        <w:t>, 2002).  It should also illustrate how dated conventional wisdom in the medical professions has filtered down to the general population and is now recognised as creating or contributing to some of the harmful stereotypes such as the Theory of Mind (Baron-Cohen et al., 1985), Weak Central Coherence (Chan &amp; Naumer, 2014; Booth &amp; Happ</w:t>
      </w:r>
      <w:r>
        <w:rPr>
          <w:rFonts w:ascii="Arial" w:hAnsi="Arial" w:hint="default"/>
          <w:rtl w:val="0"/>
          <w:lang w:val="en-US"/>
        </w:rPr>
        <w:t>é</w:t>
      </w:r>
      <w:r>
        <w:rPr>
          <w:rFonts w:ascii="Arial" w:hAnsi="Arial"/>
          <w:rtl w:val="0"/>
          <w:lang w:val="en-US"/>
        </w:rPr>
        <w:t>, 2016), or Executive Dysfunction (Bryson et al., 1997), pointing out the flaws in the information that is available online or may have been included in any previous training.</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There should also be raised awareness around the differing presentation and symptomology of ASC between males and females (</w:t>
      </w:r>
      <w:r>
        <w:rPr>
          <w:rFonts w:ascii="Arial" w:hAnsi="Arial"/>
          <w:rtl w:val="0"/>
          <w:lang w:val="da-DK"/>
        </w:rPr>
        <w:t>Rivet</w:t>
      </w:r>
      <w:r>
        <w:rPr>
          <w:rFonts w:ascii="Arial" w:hAnsi="Arial"/>
          <w:rtl w:val="0"/>
          <w:lang w:val="en-US"/>
        </w:rPr>
        <w:t xml:space="preserve"> &amp; Matson, 2011; Wood-Downie et al., 2021) and in particular the impact of camouflaging or </w:t>
      </w:r>
      <w:r>
        <w:rPr>
          <w:rFonts w:ascii="Arial" w:hAnsi="Arial" w:hint="default"/>
          <w:rtl w:val="0"/>
          <w:lang w:val="en-US"/>
        </w:rPr>
        <w:t>‘</w:t>
      </w:r>
      <w:r>
        <w:rPr>
          <w:rFonts w:ascii="Arial" w:hAnsi="Arial"/>
          <w:rtl w:val="0"/>
          <w:lang w:val="en-US"/>
        </w:rPr>
        <w:t>masking</w:t>
      </w:r>
      <w:r>
        <w:rPr>
          <w:rFonts w:ascii="Arial" w:hAnsi="Arial" w:hint="default"/>
          <w:rtl w:val="0"/>
          <w:lang w:val="en-US"/>
        </w:rPr>
        <w:t>’</w:t>
      </w:r>
      <w:r>
        <w:rPr>
          <w:rFonts w:ascii="Arial" w:hAnsi="Arial"/>
          <w:rtl w:val="0"/>
          <w:lang w:val="en-US"/>
        </w:rPr>
        <w:t xml:space="preserve">(Wood-Downie et al., 2021). Masking can become such a way of life for the autistic client that it  may present in the therapy room; this may mean the therapist, if unaware of the propensity for this, may actually encourage the client to mask in the therapy room to appear normal for the benefit of the therapist.  Within ones own work as an ASC support mentor with university students, largely female, there is a moment during the course of therapy, usually significantly far into the therapy, when the mask is lifted and one sees the autistic female for the first time. This is not usually until trust and rapport have been established and may take a significantly larger number of sessions for this relationship to develop than within the NT population.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There is a significant rate of comorbidity within the ASC population. It is important for anyone working with this client group to have an awareness of comorbidity (Matson &amp; Goldin, 2013; </w:t>
      </w:r>
      <w:r>
        <w:rPr>
          <w:rFonts w:ascii="Arial" w:hAnsi="Arial"/>
          <w:rtl w:val="0"/>
          <w:lang w:val="it-IT"/>
        </w:rPr>
        <w:t>Mannion</w:t>
      </w:r>
      <w:r>
        <w:rPr>
          <w:rFonts w:ascii="Arial" w:hAnsi="Arial"/>
          <w:rtl w:val="0"/>
          <w:lang w:val="en-US"/>
        </w:rPr>
        <w:t xml:space="preserve"> &amp; Leader, 2013) and how this may impact the ASC individual's comprehension and cognition, and by proxy the impact this may have on the couple</w:t>
      </w:r>
      <w:r>
        <w:rPr>
          <w:rFonts w:ascii="Arial" w:hAnsi="Arial" w:hint="default"/>
          <w:rtl w:val="0"/>
          <w:lang w:val="en-US"/>
        </w:rPr>
        <w:t>’</w:t>
      </w:r>
      <w:r>
        <w:rPr>
          <w:rFonts w:ascii="Arial" w:hAnsi="Arial"/>
          <w:rtl w:val="0"/>
          <w:lang w:val="en-US"/>
        </w:rPr>
        <w:t>s relationship.  Certain co-morbidities can have an impact on the ASC client's understanding of the language used within the therapy environment. Frequently the NT partner may be confused by, and view the ASC client</w:t>
      </w:r>
      <w:r>
        <w:rPr>
          <w:rFonts w:ascii="Arial" w:hAnsi="Arial" w:hint="default"/>
          <w:rtl w:val="0"/>
          <w:lang w:val="en-US"/>
        </w:rPr>
        <w:t>’</w:t>
      </w:r>
      <w:r>
        <w:rPr>
          <w:rFonts w:ascii="Arial" w:hAnsi="Arial"/>
          <w:rtl w:val="0"/>
          <w:lang w:val="en-US"/>
        </w:rPr>
        <w:t xml:space="preserve">s behaviour, as an unwillingness to communicate or cooperate. An awareness of comorbidity and how that manifests may provide useful insight into how the ASC client perceives the communication and responds.  Without a knowledge base around the sometimes profound emotional and communication difficulties present in outwardly facing high-functioning individuals, the therapist may inaccurately assess the client's level of understanding of their own emotional landscape and therefore, that of others. An important role for the couples therapist therefore, would be psycho-education to assist the NT client in understanding that the miscommunication is largely unintentional, and the lack of cooperation may be a result of comorbidity such as pathological demand avoidance (Newson et al., 2003), alexithymia (Kinnaird et al., 2019), as examples, or as a result of the ASC itself.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Within ones own work the therapist will also need to use knowledge of the impact of ASC and comorbidity to create different tools for identifying, addressing and establishing ways to work with the couple effectively (Gepner &amp; F</w:t>
      </w:r>
      <w:r>
        <w:rPr>
          <w:rFonts w:ascii="Arial" w:hAnsi="Arial" w:hint="default"/>
          <w:rtl w:val="0"/>
          <w:lang w:val="fr-FR"/>
        </w:rPr>
        <w:t>é</w:t>
      </w:r>
      <w:r>
        <w:rPr>
          <w:rFonts w:ascii="Arial" w:hAnsi="Arial"/>
          <w:rtl w:val="0"/>
          <w:lang w:val="en-US"/>
        </w:rPr>
        <w:t>ron, 2009).  There is a strong evidence base that ASC clients have significant difficulty with the retrieval of autobiographical memories (Crane &amp; Goddard, 2008, Goddard et al., 2007) for example, that may cause significant difficulty in discussing previous events for the couple with the aim of future problem solving.  Therefore the utilisation of tools not commonly used in traditional couples therapy such as visual aids, photographs or objects of reference (Milton, 2012), could be relied upon to assist with this.  Without this knowledge and how one may be affected by neurodivergence the therapist may inadvertently be making the service inaccessible which may be viewed as a breach of the Equality Act (2010) to ASD clients as therapists may not be aware of the levels of sensory disturbance, misunderstanding and what adjustments may need to be required (</w:t>
      </w:r>
      <w:r>
        <w:rPr>
          <w:rFonts w:ascii="Arial" w:hAnsi="Arial"/>
          <w:rtl w:val="0"/>
          <w:lang w:val="it-IT"/>
        </w:rPr>
        <w:t>Robertson &amp; Simmons</w:t>
      </w:r>
      <w:r>
        <w:rPr>
          <w:rFonts w:ascii="Arial" w:hAnsi="Arial"/>
          <w:rtl w:val="0"/>
          <w:lang w:val="en-US"/>
        </w:rPr>
        <w:t>, 2015), or even be aware that they may need to ask these questions.</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Finally therapists would need to be made aware of the </w:t>
      </w:r>
      <w:r>
        <w:rPr>
          <w:rFonts w:ascii="Arial" w:hAnsi="Arial" w:hint="default"/>
          <w:rtl w:val="0"/>
          <w:lang w:val="en-US"/>
        </w:rPr>
        <w:t>‘</w:t>
      </w:r>
      <w:r>
        <w:rPr>
          <w:rFonts w:ascii="Arial" w:hAnsi="Arial"/>
          <w:rtl w:val="0"/>
          <w:lang w:val="en-US"/>
        </w:rPr>
        <w:t>double empathy</w:t>
      </w:r>
      <w:r>
        <w:rPr>
          <w:rFonts w:ascii="Arial" w:hAnsi="Arial" w:hint="default"/>
          <w:rtl w:val="0"/>
          <w:lang w:val="en-US"/>
        </w:rPr>
        <w:t xml:space="preserve">’ </w:t>
      </w:r>
      <w:r>
        <w:rPr>
          <w:rFonts w:ascii="Arial" w:hAnsi="Arial"/>
          <w:rtl w:val="0"/>
          <w:lang w:val="en-US"/>
        </w:rPr>
        <w:t xml:space="preserve">problem (Mitchell et al., 2021; </w:t>
      </w:r>
      <w:r>
        <w:rPr>
          <w:rFonts w:ascii="Arial" w:hAnsi="Arial"/>
          <w:rtl w:val="0"/>
          <w:lang w:val="fr-FR"/>
        </w:rPr>
        <w:t>Crompton</w:t>
      </w:r>
      <w:r>
        <w:rPr>
          <w:rFonts w:ascii="Arial" w:hAnsi="Arial"/>
          <w:rtl w:val="0"/>
          <w:lang w:val="en-US"/>
        </w:rPr>
        <w:t xml:space="preserve"> et al., 2021), as this will affect not only the client's (NT and ASC) understanding of the situation; but may also affect the therapist</w:t>
      </w:r>
      <w:r>
        <w:rPr>
          <w:rFonts w:ascii="Arial" w:hAnsi="Arial" w:hint="default"/>
          <w:rtl w:val="0"/>
          <w:lang w:val="en-US"/>
        </w:rPr>
        <w:t>’</w:t>
      </w:r>
      <w:r>
        <w:rPr>
          <w:rFonts w:ascii="Arial" w:hAnsi="Arial"/>
          <w:rtl w:val="0"/>
          <w:lang w:val="en-US"/>
        </w:rPr>
        <w:t xml:space="preserve">s understanding.  Therapists by definition are as defined in the online Oxford Dictionary (Oxford University Press, 2022) </w:t>
      </w:r>
      <w:r>
        <w:rPr>
          <w:rFonts w:ascii="Arial" w:hAnsi="Arial" w:hint="default"/>
          <w:rtl w:val="0"/>
          <w:lang w:val="en-US"/>
        </w:rPr>
        <w:t>‘</w:t>
      </w:r>
      <w:r>
        <w:rPr>
          <w:rFonts w:ascii="Arial" w:hAnsi="Arial"/>
          <w:rtl w:val="0"/>
          <w:lang w:val="en-US"/>
        </w:rPr>
        <w:t>a person who treats mental conditions by verbal communication and interaction.</w:t>
      </w:r>
      <w:r>
        <w:rPr>
          <w:rFonts w:ascii="Arial" w:hAnsi="Arial" w:hint="default"/>
          <w:rtl w:val="0"/>
          <w:lang w:val="en-US"/>
        </w:rPr>
        <w:t xml:space="preserve">’ </w:t>
      </w:r>
      <w:r>
        <w:rPr>
          <w:rFonts w:ascii="Arial" w:hAnsi="Arial"/>
          <w:rtl w:val="0"/>
          <w:lang w:val="en-US"/>
        </w:rPr>
        <w:t>Therefore it is a given that therapists believe themselves to have excellent communication and empathetic skills.  That said, much of a therapist's training, previous experience and knowledge will inform their current work with clients. Clients rely on the therapist's experience with others to help them navigate their own situation, providing suggestions and utilising methods that have been proven to assist. The double empathy problem may cause significant difficulty in using common systemic practices, some examples being circular questioning (Saju, 2021), which relies on the members of the system having capacity to imagine and predict how the others in the system may respond, both internally and externally, to circumstance;  or the use of metaphor (Kalandadze et al., 2018; Tay, 2020) which requires an interpretation of language that is non-literal. Considering how previous experience informs cognitive bias as illustrated above, difficulties may arise if the therapist misjudges their empathic ability with an ASC client due to the double empathy problem alongside relying on tools that require a matched empathy response.</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The second gold standard would be the acknowledgement that working with ASC should be a speciality within couples counselling, and therapists without specialised training would not be deemed competent to work with the client group.  The British Association of Psychotherapists and Counsellors (BACP) and the National Counselling Society (NCS) are the two mainstream governing bodies that accredit and verify the competence of therapists and available training in the field of talking therapies.  Therefore, membership with either of these organisations is the 'gold standard' within the talking therapy communities.  Within both bodies</w:t>
      </w:r>
      <w:r>
        <w:rPr>
          <w:rFonts w:ascii="Arial" w:hAnsi="Arial" w:hint="default"/>
          <w:rtl w:val="0"/>
          <w:lang w:val="en-US"/>
        </w:rPr>
        <w:t xml:space="preserve">’ </w:t>
      </w:r>
      <w:r>
        <w:rPr>
          <w:rFonts w:ascii="Arial" w:hAnsi="Arial"/>
          <w:rtl w:val="0"/>
          <w:lang w:val="en-US"/>
        </w:rPr>
        <w:t>codes of ethics, there is reference to working within ones competence, respecting diversity, equality and inclusion and maintaining ones skills by regularly updating training and knowledge with a minimum Continuous Professional Development (CPD) requirement per year (Society, 2022,  BACP Ethical Framework for the Counselling Professions, n.d.).  Due to the vast range of specialisms across talking therapies, the CPD that any therapist undertakes is dictated by the therapist</w:t>
      </w:r>
      <w:r>
        <w:rPr>
          <w:rFonts w:ascii="Arial" w:hAnsi="Arial" w:hint="default"/>
          <w:rtl w:val="0"/>
          <w:lang w:val="en-US"/>
        </w:rPr>
        <w:t>’</w:t>
      </w:r>
      <w:r>
        <w:rPr>
          <w:rFonts w:ascii="Arial" w:hAnsi="Arial"/>
          <w:rtl w:val="0"/>
          <w:lang w:val="en-US"/>
        </w:rPr>
        <w:t>s specialism, interests, or client group with some training being mandatory for some employed individuals according to organisational policy. The therapist or organisation decides what depth of knowledge is required within the role so neither the BACP nor NCS would assume to determine what training practitioners  need. This is the role of the clinical supervisor who supports the practitioner in identifying areas of development.  Therefore, if a practitioner chose to specialise in learning disability (LD) it would be appropriate to accumulate knowledge and skills in this area for example.</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Many therapists, however, are more generic. This means that they will up-skill themselves to work with mental health issues commonly seen in the general population, and attention is drawn to working with mental health issues in some couples counselling training. This could include anxiety, depression, stress and other 'mild to moderate' (Seekles et al., 2009) mental health conditions that one might see commonly presenting in primary care. Autism and other neurodivergent conditions however are not mental health issues in themselves </w:t>
      </w:r>
      <w:r>
        <w:rPr>
          <w:rFonts w:ascii="Arial" w:hAnsi="Arial"/>
          <w:rtl w:val="0"/>
          <w:lang w:val="fr-FR"/>
        </w:rPr>
        <w:t>(Participation, n.d.)</w:t>
      </w:r>
      <w:r>
        <w:rPr>
          <w:rFonts w:ascii="Arial" w:hAnsi="Arial"/>
          <w:rtl w:val="0"/>
          <w:lang w:val="en-US"/>
        </w:rPr>
        <w:t xml:space="preserve">, although many clients with neurodivergence may experience mental health issues as an outcome of having the condition.  Therefore it would be inappropriate and inaccurate to include neurodivergence as a mental health condition within training as this infers that with </w:t>
      </w:r>
      <w:r>
        <w:rPr>
          <w:rFonts w:ascii="Arial" w:hAnsi="Arial" w:hint="default"/>
          <w:rtl w:val="0"/>
          <w:lang w:val="en-US"/>
        </w:rPr>
        <w:t>‘</w:t>
      </w:r>
      <w:r>
        <w:rPr>
          <w:rFonts w:ascii="Arial" w:hAnsi="Arial"/>
          <w:rtl w:val="0"/>
          <w:lang w:val="en-US"/>
        </w:rPr>
        <w:t xml:space="preserve">treatment' there can be an improvement in symptoms.  Autistic persons and their advocates understand that this is not the case. If autism were to be included within the mental health category trainers are implying that the ASC client could with support, potentially manage their symptoms which in practice may lead to more masking (Wood-Downie et al., 2021) which would be detrimental to the ASC client.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Many practitioners would feel that they were not competent to work with 'moderate to severe</w:t>
      </w:r>
      <w:r>
        <w:rPr>
          <w:rFonts w:ascii="Arial" w:hAnsi="Arial" w:hint="default"/>
          <w:rtl w:val="0"/>
          <w:lang w:val="en-US"/>
        </w:rPr>
        <w:t xml:space="preserve">’ </w:t>
      </w:r>
      <w:r>
        <w:rPr>
          <w:rFonts w:ascii="Arial" w:hAnsi="Arial"/>
          <w:rtl w:val="0"/>
          <w:lang w:val="en-US"/>
        </w:rPr>
        <w:t>mental health conditions that would commonly fall under secondary care provision such as eating disorder, schizophrenia or suicidality as examples, due to the life-threatening nature of these conditions without specialised training due to restrictions placed upon them by insurance companies.  Others would only work in a multidisciplinary way with the additional support of primary or secondary mental health services that would have overriding clinical responsibility for such patients and as such would not accept such clients, instead referring them on to a colleague or peer with such a specialism (all practitioners as part of their contracting with clients have to advise clients that the service is not a crisis service and signpost to appropriate services that are). Given the high suicide rates among the autistic population (</w:t>
      </w:r>
      <w:r>
        <w:rPr>
          <w:rFonts w:ascii="Arial" w:hAnsi="Arial"/>
          <w:rtl w:val="0"/>
          <w:lang w:val="de-DE"/>
        </w:rPr>
        <w:t>Richa</w:t>
      </w:r>
      <w:r>
        <w:rPr>
          <w:rFonts w:ascii="Arial" w:hAnsi="Arial"/>
          <w:rtl w:val="0"/>
          <w:lang w:val="en-US"/>
        </w:rPr>
        <w:t xml:space="preserve"> et al., 2014; Cassidy &amp; Rodgers, 2017) and observations within current research that traditional methods of assessing and treating suicidality are unsuitable for the autistic population (Cassidy &amp; Rodgers, 2017), alongside the recommendation that only specialists in autism should work with suicidal autistic clients, one might it remarkable that such restrictions are not placed upon working with the autistic population in general.</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As mentioned above in gold standard one, therapists rely on their clinical supervisor for guidance and as another critical brain to assist in the work and identify knowledge gaps.  Therefore it is the role of the clinical supervisor to assist in judging competence to work with a client alongside assessing their own competence in supervising the work.  </w:t>
      </w:r>
    </w:p>
    <w:p>
      <w:pPr>
        <w:pStyle w:val="Body A"/>
        <w:spacing w:line="480" w:lineRule="auto"/>
        <w:rPr>
          <w:rFonts w:ascii="Arial" w:cs="Arial" w:hAnsi="Arial" w:eastAsia="Arial"/>
        </w:rPr>
      </w:pPr>
    </w:p>
    <w:p>
      <w:pPr>
        <w:pStyle w:val="Body A"/>
        <w:tabs>
          <w:tab w:val="left" w:pos="8561"/>
        </w:tabs>
        <w:spacing w:line="480" w:lineRule="auto"/>
        <w:ind w:left="567" w:right="1021" w:firstLine="0"/>
        <w:rPr>
          <w:rFonts w:ascii="Arial" w:cs="Arial" w:hAnsi="Arial" w:eastAsia="Arial"/>
          <w:i w:val="1"/>
          <w:iCs w:val="1"/>
        </w:rPr>
      </w:pPr>
      <w:r>
        <w:rPr>
          <w:rFonts w:ascii="Arial" w:hAnsi="Arial" w:hint="default"/>
          <w:i w:val="1"/>
          <w:iCs w:val="1"/>
          <w:rtl w:val="0"/>
          <w:lang w:val="en-US"/>
        </w:rPr>
        <w:t>“</w:t>
      </w:r>
      <w:r>
        <w:rPr>
          <w:rFonts w:ascii="Arial" w:hAnsi="Arial"/>
          <w:i w:val="1"/>
          <w:iCs w:val="1"/>
          <w:rtl w:val="0"/>
          <w:lang w:val="en-US"/>
        </w:rPr>
        <w:t>Supervisors must ensure that they themselves are competent in clinical supervision and in all of the areas of practice engaged in by their supervisees. To competently oversee the work of a subordinate, supervisors must have the training, education, and supervised experience necessary to establish competence in associated areas of practice.</w:t>
      </w:r>
      <w:r>
        <w:rPr>
          <w:rFonts w:ascii="Arial" w:hAnsi="Arial" w:hint="default"/>
          <w:i w:val="1"/>
          <w:iCs w:val="1"/>
          <w:rtl w:val="0"/>
          <w:lang w:val="en-US"/>
        </w:rPr>
        <w:t xml:space="preserve">”  </w:t>
      </w:r>
      <w:r>
        <w:rPr>
          <w:rFonts w:ascii="Arial" w:hAnsi="Arial"/>
          <w:i w:val="1"/>
          <w:iCs w:val="1"/>
          <w:rtl w:val="0"/>
          <w:lang w:val="en-US"/>
        </w:rPr>
        <w:t>(Watkins et al,. 2014 p.144)</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Clinical supervisors, however, have often had the same training as their supervisees and may have their own blindspots or overestimate their own expertise if they have not had the appropriate training.  If working in an organisation, a therapist may be assigned to a superviser rather than the supervisee being able to choose an appropriately qualified supervisor.  Given that, as alluded to in the first gold standard, some practices within systemic therapy may be useless, if not harmful to clients with ASC, without adequate training the supervisor is not in a position of knowledge to advise their supervisee on adaptations to practice or offer alternatives. This may serve to make the service inaccessible if not harmful.  Within ones own national, branded and well-known organisation, a supervisor has been assigned to me who openly admits that she is less knowledgeable than I, and that within the organisation there are no appropriately specialised supervisors to support work with ASC clients.  When queried as to whether the organisation should therefore work with ASC clients at all, it was explained that under attempts to be inclusive under the Equality Act (2010) we would not refuse ASC clients.  Curiously however,  the organisation would refuse to work with actively suicidal clients, sex offenders or domestic abusers for example due to the lack of specific training to support these groups.  This is in direct conflict with the Autism Act (2009) which states that government priorities are (in particular point (f)):</w:t>
      </w:r>
    </w:p>
    <w:p>
      <w:pPr>
        <w:pStyle w:val="Body A"/>
        <w:spacing w:line="480" w:lineRule="auto"/>
        <w:rPr>
          <w:rFonts w:ascii="Arial" w:cs="Arial" w:hAnsi="Arial" w:eastAsia="Arial"/>
        </w:rPr>
      </w:pPr>
    </w:p>
    <w:p>
      <w:pPr>
        <w:pStyle w:val="Body B"/>
        <w:spacing w:line="480" w:lineRule="auto"/>
        <w:rPr>
          <w:rFonts w:ascii="Arial" w:cs="Arial" w:hAnsi="Arial" w:eastAsia="Arial"/>
          <w:sz w:val="22"/>
          <w:szCs w:val="22"/>
        </w:rPr>
      </w:pPr>
      <w:r>
        <w:rPr>
          <w:rFonts w:ascii="Arial" w:hAnsi="Arial"/>
          <w:i w:val="1"/>
          <w:iCs w:val="1"/>
          <w:sz w:val="22"/>
          <w:szCs w:val="22"/>
          <w:rtl w:val="0"/>
          <w:lang w:val="fr-FR"/>
        </w:rPr>
        <w:t>(section  5)</w:t>
      </w:r>
    </w:p>
    <w:p>
      <w:pPr>
        <w:pStyle w:val="Body B"/>
        <w:spacing w:line="480" w:lineRule="auto"/>
        <w:rPr>
          <w:rFonts w:ascii="Arial" w:cs="Arial" w:hAnsi="Arial" w:eastAsia="Arial"/>
          <w:i w:val="1"/>
          <w:iCs w:val="1"/>
          <w:sz w:val="22"/>
          <w:szCs w:val="22"/>
        </w:rPr>
      </w:pPr>
    </w:p>
    <w:p>
      <w:pPr>
        <w:pStyle w:val="Body B"/>
        <w:spacing w:line="480" w:lineRule="auto"/>
        <w:ind w:left="567" w:firstLine="0"/>
        <w:rPr>
          <w:rFonts w:ascii="Arial" w:cs="Arial" w:hAnsi="Arial" w:eastAsia="Arial"/>
          <w:i w:val="1"/>
          <w:iCs w:val="1"/>
          <w:sz w:val="22"/>
          <w:szCs w:val="22"/>
          <w:lang w:val="en-US"/>
        </w:rPr>
      </w:pPr>
      <w:r>
        <w:rPr>
          <w:rFonts w:ascii="Arial" w:hAnsi="Arial" w:hint="default"/>
          <w:i w:val="1"/>
          <w:iCs w:val="1"/>
          <w:sz w:val="22"/>
          <w:szCs w:val="22"/>
          <w:rtl w:val="0"/>
          <w:lang w:val="en-US"/>
        </w:rPr>
        <w:t>…</w:t>
      </w:r>
      <w:r>
        <w:rPr>
          <w:rFonts w:ascii="Arial" w:hAnsi="Arial"/>
          <w:i w:val="1"/>
          <w:iCs w:val="1"/>
          <w:sz w:val="22"/>
          <w:szCs w:val="22"/>
          <w:rtl w:val="0"/>
          <w:lang w:val="en-US"/>
        </w:rPr>
        <w:t>(c) the assessment of the needs of adults with such conditions for relevant services</w:t>
      </w:r>
    </w:p>
    <w:p>
      <w:pPr>
        <w:pStyle w:val="Body B"/>
        <w:spacing w:line="480" w:lineRule="auto"/>
        <w:ind w:left="567" w:firstLine="0"/>
        <w:rPr>
          <w:rFonts w:ascii="Arial" w:cs="Arial" w:hAnsi="Arial" w:eastAsia="Arial"/>
          <w:i w:val="1"/>
          <w:iCs w:val="1"/>
          <w:sz w:val="22"/>
          <w:szCs w:val="22"/>
        </w:rPr>
      </w:pPr>
    </w:p>
    <w:p>
      <w:pPr>
        <w:pStyle w:val="Body B"/>
        <w:spacing w:line="480" w:lineRule="auto"/>
        <w:ind w:left="567" w:firstLine="0"/>
        <w:rPr>
          <w:rFonts w:ascii="Arial" w:cs="Arial" w:hAnsi="Arial" w:eastAsia="Arial"/>
          <w:i w:val="1"/>
          <w:iCs w:val="1"/>
          <w:sz w:val="22"/>
          <w:szCs w:val="22"/>
        </w:rPr>
      </w:pPr>
    </w:p>
    <w:p>
      <w:pPr>
        <w:pStyle w:val="Body B"/>
        <w:spacing w:line="480" w:lineRule="auto"/>
        <w:ind w:left="567" w:firstLine="0"/>
        <w:rPr>
          <w:rFonts w:ascii="Arial" w:cs="Arial" w:hAnsi="Arial" w:eastAsia="Arial"/>
          <w:i w:val="1"/>
          <w:iCs w:val="1"/>
          <w:sz w:val="22"/>
          <w:szCs w:val="22"/>
          <w:lang w:val="en-US"/>
        </w:rPr>
      </w:pPr>
      <w:r>
        <w:rPr>
          <w:rFonts w:ascii="Arial" w:hAnsi="Arial"/>
          <w:i w:val="1"/>
          <w:iCs w:val="1"/>
          <w:sz w:val="22"/>
          <w:szCs w:val="22"/>
          <w:rtl w:val="0"/>
          <w:lang w:val="en-US"/>
        </w:rPr>
        <w:t>(d) planning in relation to the provision of relevant services to persons with autistic spectrum conditions as they move from being children to adults;</w:t>
      </w:r>
    </w:p>
    <w:p>
      <w:pPr>
        <w:pStyle w:val="Body B"/>
        <w:spacing w:line="480" w:lineRule="auto"/>
        <w:ind w:left="567" w:firstLine="0"/>
        <w:rPr>
          <w:rFonts w:ascii="Arial" w:cs="Arial" w:hAnsi="Arial" w:eastAsia="Arial"/>
          <w:i w:val="1"/>
          <w:iCs w:val="1"/>
          <w:sz w:val="22"/>
          <w:szCs w:val="22"/>
        </w:rPr>
      </w:pPr>
    </w:p>
    <w:p>
      <w:pPr>
        <w:pStyle w:val="Body B"/>
        <w:spacing w:line="480" w:lineRule="auto"/>
        <w:ind w:left="567" w:firstLine="0"/>
        <w:rPr>
          <w:rFonts w:ascii="Arial" w:cs="Arial" w:hAnsi="Arial" w:eastAsia="Arial"/>
          <w:i w:val="1"/>
          <w:iCs w:val="1"/>
          <w:sz w:val="22"/>
          <w:szCs w:val="22"/>
          <w:lang w:val="en-US"/>
        </w:rPr>
      </w:pPr>
      <w:r>
        <w:rPr>
          <w:rFonts w:ascii="Arial" w:hAnsi="Arial"/>
          <w:i w:val="1"/>
          <w:iCs w:val="1"/>
          <w:sz w:val="22"/>
          <w:szCs w:val="22"/>
          <w:rtl w:val="0"/>
          <w:lang w:val="en-US"/>
        </w:rPr>
        <w:t>(e) other planning in relation to the provision of relevant services to adults with autistic spectrum conditions;</w:t>
      </w:r>
    </w:p>
    <w:p>
      <w:pPr>
        <w:pStyle w:val="Body B"/>
        <w:spacing w:line="480" w:lineRule="auto"/>
        <w:ind w:left="567" w:firstLine="0"/>
        <w:rPr>
          <w:rFonts w:ascii="Arial" w:cs="Arial" w:hAnsi="Arial" w:eastAsia="Arial"/>
          <w:i w:val="1"/>
          <w:iCs w:val="1"/>
          <w:sz w:val="22"/>
          <w:szCs w:val="22"/>
        </w:rPr>
      </w:pPr>
    </w:p>
    <w:p>
      <w:pPr>
        <w:pStyle w:val="Body B"/>
        <w:spacing w:line="480" w:lineRule="auto"/>
        <w:ind w:left="567" w:firstLine="0"/>
        <w:rPr>
          <w:rFonts w:ascii="Arial" w:cs="Arial" w:hAnsi="Arial" w:eastAsia="Arial"/>
          <w:i w:val="1"/>
          <w:iCs w:val="1"/>
          <w:sz w:val="22"/>
          <w:szCs w:val="22"/>
        </w:rPr>
      </w:pPr>
      <w:r>
        <w:rPr>
          <w:rFonts w:ascii="Arial" w:hAnsi="Arial"/>
          <w:i w:val="1"/>
          <w:iCs w:val="1"/>
          <w:sz w:val="22"/>
          <w:szCs w:val="22"/>
          <w:rtl w:val="0"/>
          <w:lang w:val="en-US"/>
        </w:rPr>
        <w:t xml:space="preserve"> (f) the training of staff who provide relevant services to adults with such conditions;</w:t>
      </w:r>
      <w:r>
        <w:rPr>
          <w:rFonts w:ascii="Arial" w:hAnsi="Arial" w:hint="default"/>
          <w:i w:val="1"/>
          <w:iCs w:val="1"/>
          <w:sz w:val="22"/>
          <w:szCs w:val="22"/>
          <w:rtl w:val="0"/>
          <w:lang w:val="en-US"/>
        </w:rPr>
        <w:t>…</w:t>
      </w:r>
      <w:r>
        <w:rPr>
          <w:rFonts w:ascii="Arial" w:hAnsi="Arial"/>
          <w:i w:val="1"/>
          <w:iCs w:val="1"/>
          <w:sz w:val="22"/>
          <w:szCs w:val="22"/>
          <w:rtl w:val="0"/>
          <w:lang w:val="fr-FR"/>
        </w:rPr>
        <w:t>. (Autism Act 2009)</w:t>
      </w:r>
    </w:p>
    <w:p>
      <w:pPr>
        <w:pStyle w:val="Body B"/>
        <w:spacing w:line="480" w:lineRule="auto"/>
        <w:rPr>
          <w:rFonts w:ascii="Arial" w:cs="Arial" w:hAnsi="Arial" w:eastAsia="Arial"/>
          <w:sz w:val="22"/>
          <w:szCs w:val="22"/>
        </w:rPr>
      </w:pPr>
    </w:p>
    <w:p>
      <w:pPr>
        <w:pStyle w:val="Body B"/>
        <w:spacing w:line="480" w:lineRule="auto"/>
        <w:rPr>
          <w:rFonts w:ascii="Arial" w:cs="Arial" w:hAnsi="Arial" w:eastAsia="Arial"/>
          <w:sz w:val="22"/>
          <w:szCs w:val="22"/>
          <w:lang w:val="en-US"/>
        </w:rPr>
      </w:pPr>
      <w:r>
        <w:rPr>
          <w:rFonts w:ascii="Arial" w:hAnsi="Arial"/>
          <w:sz w:val="22"/>
          <w:szCs w:val="22"/>
          <w:rtl w:val="0"/>
          <w:lang w:val="en-US"/>
        </w:rPr>
        <w:t>However, as yet the Guidance for the Act, as with much other government guidance, only applies to statutory bodies and does not apply to the private or charitable sectors (Department of Health, March 2015), unless they are in receipt of public funding, so does not apply to the majority of therapists or therapeutic organisations. This poses an obvious problem because, unfortunately, there is little in the way of services available for ASC clients post-diagnosis, and therefore statutory bodies look to the private or charitable sector to fill the gaps.  Within the city of Plymouth the ASC diagnostic service looked to local organisations including the organisation mentioned earlier within which one works, for support for their clients in the context of support with relationships as they had nothing else to offer.</w:t>
      </w:r>
    </w:p>
    <w:p>
      <w:pPr>
        <w:pStyle w:val="Body B"/>
        <w:spacing w:line="480" w:lineRule="auto"/>
        <w:rPr>
          <w:rFonts w:ascii="Arial" w:cs="Arial" w:hAnsi="Arial" w:eastAsia="Arial"/>
          <w:sz w:val="22"/>
          <w:szCs w:val="22"/>
        </w:rPr>
      </w:pPr>
    </w:p>
    <w:p>
      <w:pPr>
        <w:pStyle w:val="Body B"/>
        <w:spacing w:line="480" w:lineRule="auto"/>
        <w:rPr>
          <w:rFonts w:ascii="Arial" w:cs="Arial" w:hAnsi="Arial" w:eastAsia="Arial"/>
          <w:sz w:val="22"/>
          <w:szCs w:val="22"/>
        </w:rPr>
      </w:pPr>
      <w:r>
        <w:rPr>
          <w:rFonts w:ascii="Arial" w:hAnsi="Arial"/>
          <w:sz w:val="22"/>
          <w:szCs w:val="22"/>
          <w:rtl w:val="0"/>
          <w:lang w:val="en-US"/>
        </w:rPr>
        <w:t xml:space="preserve">There is a growing movement among autistic therapists to assert that autistic clients should only work with autistic therapists. There are many social media groups dedicated to this (Counsellors working with Neurodivergence, Facebook, n.d.) and accrediting bodies are revisiting their guidance to sanction the importance of working within ones competence (SCoPEd, January 2022). While wholeheartedly believing that there should be an increased awareness and a higher standard of training available to therapists who wish to work with autistic clients, it is not enough to </w:t>
      </w:r>
      <w:r>
        <w:rPr>
          <w:rFonts w:ascii="Arial" w:hAnsi="Arial"/>
          <w:sz w:val="22"/>
          <w:szCs w:val="22"/>
          <w:rtl w:val="0"/>
          <w:lang w:val="it-IT"/>
        </w:rPr>
        <w:t xml:space="preserve"> convinc</w:t>
      </w:r>
      <w:r>
        <w:rPr>
          <w:rFonts w:ascii="Arial" w:hAnsi="Arial"/>
          <w:sz w:val="22"/>
          <w:szCs w:val="22"/>
          <w:rtl w:val="0"/>
          <w:lang w:val="en-US"/>
        </w:rPr>
        <w:t>e one that for the purposes of couples therapy, an autistic therapist is the only solution. This is because if the couple are a mix of ASC/NT, and given that in ones own experience it is usually the NT client bringing the ASC client to therapy, there are concerns that the NT client may feel that there might be some collusion or that their concerns were not being understood or represented accurately during the therapy (meanwhile accepting of the fact that this is the life experience of the ASC client).  One believes that there should at least be the choice available for couples to work with either an autistic therapist or a therapist who has had extensive training in order to accurately represent both client's interests during the course of therapy, and that therapists should be encouraged or mandated to signpost to an appropriate service giving the clients the option should they choose that.</w:t>
      </w:r>
    </w:p>
    <w:p>
      <w:pPr>
        <w:pStyle w:val="Body B"/>
        <w:spacing w:line="480" w:lineRule="auto"/>
        <w:rPr>
          <w:rFonts w:ascii="Arial" w:cs="Arial" w:hAnsi="Arial" w:eastAsia="Arial"/>
          <w:sz w:val="22"/>
          <w:szCs w:val="22"/>
        </w:rPr>
      </w:pPr>
    </w:p>
    <w:p>
      <w:pPr>
        <w:pStyle w:val="Body B"/>
        <w:spacing w:line="480" w:lineRule="auto"/>
        <w:rPr>
          <w:rFonts w:ascii="Arial" w:cs="Arial" w:hAnsi="Arial" w:eastAsia="Arial"/>
          <w:sz w:val="22"/>
          <w:szCs w:val="22"/>
          <w:lang w:val="en-US"/>
        </w:rPr>
      </w:pPr>
      <w:r>
        <w:rPr>
          <w:rFonts w:ascii="Arial" w:hAnsi="Arial"/>
          <w:rtl w:val="0"/>
          <w:lang w:val="en-US"/>
        </w:rPr>
        <w:t>The</w:t>
      </w:r>
      <w:r>
        <w:rPr>
          <w:rFonts w:ascii="Arial" w:hAnsi="Arial"/>
          <w:sz w:val="22"/>
          <w:szCs w:val="22"/>
          <w:rtl w:val="0"/>
          <w:lang w:val="en-US"/>
        </w:rPr>
        <w:t xml:space="preserve"> third standard is related to the quality and specificity of the training. As alluded to in previous standards, much of the training available is aimed at either the LD community or around supporting school-age children.  In ones own opinion this would make a significant amount of the training irrelevant to the clients who are coming to couples counselling, as there is growing evidence that symptoms improve or change over time (Shattuck et al., 2007; Magiati et al., 2014), although again, this is within cohorts identified as having autism many years ago and perhaps does not include outwardly facing functioning individuals with whom there is little research in comparison.  However, much more research is available in the context of ASC and co-morbidity such as alexithymia (Morie et al., 2019) depression (Dell</w:t>
      </w:r>
      <w:r>
        <w:rPr>
          <w:rFonts w:ascii="Arial" w:hAnsi="Arial" w:hint="default"/>
          <w:sz w:val="22"/>
          <w:szCs w:val="22"/>
          <w:rtl w:val="0"/>
          <w:lang w:val="en-US"/>
        </w:rPr>
        <w:t>’</w:t>
      </w:r>
      <w:r>
        <w:rPr>
          <w:rFonts w:ascii="Arial" w:hAnsi="Arial"/>
          <w:sz w:val="22"/>
          <w:szCs w:val="22"/>
          <w:rtl w:val="0"/>
          <w:lang w:val="en-US"/>
        </w:rPr>
        <w:t>Ossoet al., 2019) anxiety (Hu et al., 2019) etc. which is of equal importance given the higher rates within ASC than the general population.  Considering the high number of sexual problems that present to the couples therapist in general, exploration of sexuality in the ASC population and what that looks like should also be included in training (Sch</w:t>
      </w:r>
      <w:r>
        <w:rPr>
          <w:rFonts w:ascii="Arial" w:hAnsi="Arial" w:hint="default"/>
          <w:sz w:val="22"/>
          <w:szCs w:val="22"/>
          <w:rtl w:val="0"/>
          <w:lang w:val="en-US"/>
        </w:rPr>
        <w:t>ö</w:t>
      </w:r>
      <w:r>
        <w:rPr>
          <w:rFonts w:ascii="Arial" w:hAnsi="Arial"/>
          <w:sz w:val="22"/>
          <w:szCs w:val="22"/>
          <w:rtl w:val="0"/>
          <w:lang w:val="en-US"/>
        </w:rPr>
        <w:t>ttle et al., 2022).  Again, the full scope of what should be available cannot be covered in this assignment but these are just some examples.</w:t>
      </w:r>
    </w:p>
    <w:p>
      <w:pPr>
        <w:pStyle w:val="Body B"/>
        <w:spacing w:line="480" w:lineRule="auto"/>
        <w:rPr>
          <w:rFonts w:ascii="Arial" w:cs="Arial" w:hAnsi="Arial" w:eastAsia="Arial"/>
          <w:sz w:val="22"/>
          <w:szCs w:val="22"/>
        </w:rPr>
      </w:pPr>
    </w:p>
    <w:p>
      <w:pPr>
        <w:pStyle w:val="Body B"/>
        <w:spacing w:line="480" w:lineRule="auto"/>
        <w:rPr>
          <w:rFonts w:ascii="Arial" w:cs="Arial" w:hAnsi="Arial" w:eastAsia="Arial"/>
          <w:sz w:val="22"/>
          <w:szCs w:val="22"/>
          <w:lang w:val="en-US"/>
        </w:rPr>
      </w:pPr>
      <w:r>
        <w:rPr>
          <w:rFonts w:ascii="Arial" w:hAnsi="Arial"/>
          <w:sz w:val="22"/>
          <w:szCs w:val="22"/>
          <w:rtl w:val="0"/>
          <w:lang w:val="en-US"/>
        </w:rPr>
        <w:t>Given the vast array of training available to therapists, there needs to be some way for a therapist, and by proxy the client, to be able to differentiate between the training available and its appropriateness and therefore it would be appropriate for training to be accredited in some way. Which leads to another of the gold standards.  What should constitute accredited training?</w:t>
      </w:r>
    </w:p>
    <w:p>
      <w:pPr>
        <w:pStyle w:val="Body B"/>
        <w:spacing w:line="480" w:lineRule="auto"/>
        <w:rPr>
          <w:rFonts w:ascii="Arial" w:cs="Arial" w:hAnsi="Arial" w:eastAsia="Arial"/>
          <w:sz w:val="22"/>
          <w:szCs w:val="22"/>
        </w:rPr>
      </w:pPr>
    </w:p>
    <w:p>
      <w:pPr>
        <w:pStyle w:val="Body B"/>
        <w:spacing w:line="480" w:lineRule="auto"/>
        <w:rPr>
          <w:rFonts w:ascii="Arial" w:cs="Arial" w:hAnsi="Arial" w:eastAsia="Arial"/>
          <w:sz w:val="22"/>
          <w:szCs w:val="22"/>
        </w:rPr>
      </w:pPr>
      <w:r>
        <w:rPr>
          <w:rFonts w:ascii="Arial" w:hAnsi="Arial"/>
          <w:sz w:val="22"/>
          <w:szCs w:val="22"/>
          <w:rtl w:val="0"/>
          <w:lang w:val="en-US"/>
        </w:rPr>
        <w:t xml:space="preserve">In attempting to review the training available for autism, the search was focused initially within the </w:t>
      </w:r>
      <w:r>
        <w:rPr>
          <w:rFonts w:ascii="Arial" w:hAnsi="Arial"/>
          <w:sz w:val="22"/>
          <w:szCs w:val="22"/>
          <w:rtl w:val="0"/>
          <w:lang w:val="fr-FR"/>
        </w:rPr>
        <w:t xml:space="preserve"> </w:t>
      </w:r>
      <w:r>
        <w:rPr>
          <w:rFonts w:ascii="Arial" w:hAnsi="Arial"/>
          <w:sz w:val="22"/>
          <w:szCs w:val="22"/>
          <w:rtl w:val="0"/>
          <w:lang w:val="en-US"/>
        </w:rPr>
        <w:t xml:space="preserve">City of Plymouth as this is local to the author. At the time of writing this assignment, there were six local services (appendix </w:t>
      </w:r>
      <w:r>
        <w:rPr>
          <w:rFonts w:ascii="Arial" w:hAnsi="Arial"/>
          <w:sz w:val="22"/>
          <w:szCs w:val="22"/>
          <w:rtl w:val="0"/>
          <w:lang w:val="en-US"/>
        </w:rPr>
        <w:t>4</w:t>
      </w:r>
      <w:r>
        <w:rPr>
          <w:rFonts w:ascii="Arial" w:hAnsi="Arial"/>
          <w:sz w:val="22"/>
          <w:szCs w:val="22"/>
          <w:rtl w:val="0"/>
          <w:lang w:val="en-US"/>
        </w:rPr>
        <w:t xml:space="preserve">) that were offering autism training. The first training located covered LD and ASC (NHS Choices, 2022). The training was online and was for 2.5 hours. In ones opinion this is not targeted at the appropriate audience, and would not be sufficient to qualify a couples therapist to work with the client group. </w:t>
      </w:r>
    </w:p>
    <w:p>
      <w:pPr>
        <w:pStyle w:val="Body B"/>
        <w:spacing w:line="480" w:lineRule="auto"/>
        <w:rPr>
          <w:rFonts w:ascii="Arial" w:cs="Arial" w:hAnsi="Arial" w:eastAsia="Arial"/>
          <w:sz w:val="22"/>
          <w:szCs w:val="22"/>
        </w:rPr>
      </w:pPr>
    </w:p>
    <w:p>
      <w:pPr>
        <w:pStyle w:val="Body B"/>
        <w:spacing w:line="480" w:lineRule="auto"/>
        <w:rPr>
          <w:rFonts w:ascii="Arial" w:cs="Arial" w:hAnsi="Arial" w:eastAsia="Arial"/>
          <w:sz w:val="22"/>
          <w:szCs w:val="22"/>
          <w:lang w:val="en-US"/>
        </w:rPr>
      </w:pPr>
      <w:r>
        <w:rPr>
          <w:rFonts w:ascii="Arial" w:hAnsi="Arial"/>
          <w:sz w:val="22"/>
          <w:szCs w:val="22"/>
          <w:rtl w:val="0"/>
          <w:lang w:val="en-US"/>
        </w:rPr>
        <w:t xml:space="preserve">There were two training providers that were offering a Level 2 in Autism Awareness (City College Plymouth, Achievement Training). This required weekly attendance and was over 12 weeks. A Level 2 course is the equivalent of a GCSE; most professionals would agree that a GCSE level of understanding is probably not sufficient to consider oneself an expert or specialist.   (On a side note, having worked for many of these organisations in previous job roles the author is dubious about the quality of the training, considering that within a vocational training centre the staff are required to obtain at the highest, a training standard of Level 4 which is the equivalent to a Higher National Diploma however, the majority of staff are qualified to Level 3, the minimum requirement which is the equivalent of A-levels.  Vocational training centres by their very nature are aimed at non-academic people who are better at hands-on learning than academic-level training).  </w:t>
      </w:r>
    </w:p>
    <w:p>
      <w:pPr>
        <w:pStyle w:val="Body B"/>
        <w:spacing w:line="480" w:lineRule="auto"/>
        <w:rPr>
          <w:rFonts w:ascii="Arial" w:cs="Arial" w:hAnsi="Arial" w:eastAsia="Arial"/>
          <w:sz w:val="22"/>
          <w:szCs w:val="22"/>
        </w:rPr>
      </w:pPr>
    </w:p>
    <w:p>
      <w:pPr>
        <w:pStyle w:val="Body B"/>
        <w:spacing w:line="480" w:lineRule="auto"/>
        <w:rPr>
          <w:rFonts w:ascii="Arial" w:cs="Arial" w:hAnsi="Arial" w:eastAsia="Arial"/>
          <w:sz w:val="22"/>
          <w:szCs w:val="22"/>
          <w:lang w:val="en-US"/>
        </w:rPr>
      </w:pPr>
      <w:r>
        <w:rPr>
          <w:rFonts w:ascii="Arial" w:hAnsi="Arial"/>
          <w:sz w:val="22"/>
          <w:szCs w:val="22"/>
          <w:rtl w:val="0"/>
          <w:lang w:val="en-US"/>
        </w:rPr>
        <w:t xml:space="preserve">There were two statutory services offering training in order to comply with the Autism Act (2009).  Plymouth City Council (plymouth.gov.uk, 2022) offer three modules of training aimed at parents or early years staff that are working with children with autism and included things such as Lego therapy, which obviously isn't appropriate for the client group, and the Plymouth Autism Spectrum Service (PASS, 2022) which is the NHS service here in Plymouth. They offer tailored training or consultancy to businesses but do not offer training courses per se.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Only two of the courses were accredited, and these courses were the previously mentioned Level 2 in Autism Awareness offered by the training providers; these are accredited by the awarding body City and Guilds (City and Guilds, 2022), which unfortunately does not guarantee a high standard of training or expertise within the training provider.  This is because, in order to be able to deliver City and Guilds (or equivalent) qualifications, the training provider has to demonstrate that their staff have a minimum of five years of experience working in the field, or have </w:t>
      </w:r>
      <w:r>
        <w:rPr>
          <w:rFonts w:ascii="Arial" w:hAnsi="Arial"/>
          <w:i w:val="1"/>
          <w:iCs w:val="1"/>
          <w:rtl w:val="0"/>
          <w:lang w:val="en-US"/>
        </w:rPr>
        <w:t>transferable skills</w:t>
      </w:r>
      <w:r>
        <w:rPr>
          <w:rFonts w:ascii="Arial" w:hAnsi="Arial"/>
          <w:rtl w:val="0"/>
          <w:lang w:val="en-US"/>
        </w:rPr>
        <w:t>. In practice, this means that if somebody has worked in one specific area of education or health and social care, this would qualify them to teach any subjects that fell under the health and social care or education umbrella (Autism Awareness Level 2 falls under either of these). This could mean for example, that the person delivering the course may have spent 5 years working in an older persons home, or 5 years as a teaching assistant.  This, in ones own opinion, does not imply that one has a sufficient background in autism, but then again, in order to deliver any Level 2 qualification, one is not required to be an expert.</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Finally the University of Plymouth is offering a one year PG cert in Education:  Autism. (</w:t>
      </w:r>
      <w:r>
        <w:rPr>
          <w:rFonts w:ascii="Arial" w:hAnsi="Arial"/>
          <w:rtl w:val="0"/>
          <w:lang w:val="it-IT"/>
        </w:rPr>
        <w:t>PgCert Education: Autism, n.d.)</w:t>
      </w:r>
      <w:r>
        <w:rPr>
          <w:rFonts w:ascii="Arial" w:hAnsi="Arial"/>
          <w:rtl w:val="0"/>
          <w:lang w:val="en-US"/>
        </w:rPr>
        <w:t xml:space="preserve"> This is an in-depth level of training that requires a foundation degree or an appropriate level of experience in order to access the course and is part of their teacher training options. It is specific to education and is an investment in both finance and time; however, the course content does look as if it may equip a therapist to work with this client group, particularly therapists who work with children and young people, but perhaps not a couples therapist because as the title suggests, it is for persons wishing to advance their career in education, not therapy. And is aimed at school age children.  There is also a requirement for an undergraduate degree in order to access the course, and some therapists who have used the vocational route into therapy will not have a degree. There was no training sourced that fell in between a Level 2 or Level 7 unless it was under the umbrella of SEND (BEd (Hons) Primary (Special Educational Needs with QTS, n.d.) within the education system, which demonstrates a huge gap in provision.</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There was more training nationally available online.  However, the training researched at the time of writing this assignment was either the same Level 2 training available in the previously mentioned local training centres, or one-day </w:t>
      </w:r>
      <w:r>
        <w:rPr>
          <w:rFonts w:ascii="Arial" w:hAnsi="Arial" w:hint="default"/>
          <w:rtl w:val="0"/>
          <w:lang w:val="en-US"/>
        </w:rPr>
        <w:t>‘</w:t>
      </w:r>
      <w:r>
        <w:rPr>
          <w:rFonts w:ascii="Arial" w:hAnsi="Arial"/>
          <w:rtl w:val="0"/>
          <w:lang w:val="en-US"/>
        </w:rPr>
        <w:t>Introduction to Autism</w:t>
      </w:r>
      <w:r>
        <w:rPr>
          <w:rFonts w:ascii="Arial" w:hAnsi="Arial" w:hint="default"/>
          <w:rtl w:val="0"/>
          <w:lang w:val="en-US"/>
        </w:rPr>
        <w:t xml:space="preserve">’ </w:t>
      </w:r>
      <w:r>
        <w:rPr>
          <w:rFonts w:ascii="Arial" w:hAnsi="Arial"/>
          <w:rtl w:val="0"/>
          <w:lang w:val="en-US"/>
        </w:rPr>
        <w:t>courses, which aim to give a very brief overview of the condition for organisations to (assumedly) tick the appropriate box to comply with the Autism Act. Some of these courses are labelled as accredited; however, when investigated further which accrediting body the training courses were accredited by, they were again City and Guilds or equivalent, which as alluded to above does not guarantee the quality of the training or, advertised as accredited CPD such, as the level 3 Autism qualification offered by the Centre of Excellence 2022 (Autism Awareness Course Diploma | Learn about Autism, 2016) and other similar unregulated providers, which are not included in this assignment due to the lack of these being unrecognised by OFQUAL, so it would be difficult to attest to stringent monitoring or any robust standardisation.  The exception of course is the training offered by the National Autistic Society (Training and Conferences, n.d.) which offers a more tailored approach to the training needs of individuals and has a range of modules meaning one can create a portfolio of training to attend to the needs of ones specific client group.</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The BACP (BACP, 2019) does have a range of articles and podcasts written by autistic persons or therapists, or by therapists who have experience with the client group and are willing to share their adaptations to working practices, which do give a voice to the autistic population and would give a therapist insight into the experience for autistic persons.  While everything on the BACP webpage is obviously approved by BACP and would count towards the minimum CPD requirement per year, it is not training per se, so would not be sufficient to call oneself an expert.</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Finally, as is best practice for any training around minority groups (</w:t>
      </w:r>
      <w:r>
        <w:rPr>
          <w:rFonts w:ascii="Arial" w:hAnsi="Arial"/>
          <w:rtl w:val="0"/>
          <w:lang w:val="da-DK"/>
        </w:rPr>
        <w:t>Fletcher-Watson</w:t>
      </w:r>
      <w:r>
        <w:rPr>
          <w:rFonts w:ascii="Arial" w:hAnsi="Arial"/>
          <w:rtl w:val="0"/>
          <w:lang w:val="en-US"/>
        </w:rPr>
        <w:t xml:space="preserve"> et al., 2019), the training available to therapists in autism should be service-user led and perhaps, as an alternative to the standard training available within training centres, there should be a shift towards accreditation by organisations that work with or represent autistic people. Periodically the NAS offers one-day training courses in various regions although this is not frequent enough to meet the need or demand, and having attended the training, it was not sufficient for one to call oneself a specialist. Perhaps alongside offering their own training, such organisations could further develop their accreditation of existing training providers in order to officially approve the training on offer, or work with the awarding bodies to tighten the criteria to ensure that the training providers are meeting certain standards in order to be able to deliver training, such as ensuring that the providers have an approved </w:t>
      </w:r>
      <w:r>
        <w:rPr>
          <w:rFonts w:ascii="Arial" w:hAnsi="Arial" w:hint="default"/>
          <w:rtl w:val="0"/>
          <w:lang w:val="en-US"/>
        </w:rPr>
        <w:t>‘</w:t>
      </w:r>
      <w:r>
        <w:rPr>
          <w:rFonts w:ascii="Arial" w:hAnsi="Arial"/>
          <w:rtl w:val="0"/>
          <w:lang w:val="en-US"/>
        </w:rPr>
        <w:t>specialist' to deliver the training.  In order to achieve this, government funding could be made available to training providers to enable them to up-skill their own staff to ensure sufficient knowledge to qualify to deliver the training.  This in-turn will have the positive effect of ensuring that those who are working with, or aiming to work with the autistic population are competent to do so.</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In conclusion, the aim of the gold standards would be to ensure that therapists working with couples that have ASC in either one or both clients, should be competent to do so. Or, there should be the choice available for clients to select a therapist with such competence. The training that a therapist undertakes in order to be competent to work with the client group, should be accredited in some way so that the clients can easily ascertain if the therapist competence. This is important because as alluded to above, clients with ASC have significantly higher rates of suicide, depression and anxiety due to the way they engage with the world, and the way the world engages with them. Without a thorough understanding of ASC, a therapist may inadvertently intensify any feelings of being misunderstood by the ASC client, which poses significant risk to their mental well-being. By ensuring that therapists are adequately trained and able to accurately empathise with the ASC client they are positively modelling to the NT client how to communicate effectively.</w:t>
      </w:r>
    </w:p>
    <w:p>
      <w:pPr>
        <w:pStyle w:val="Body A"/>
        <w:spacing w:line="480" w:lineRule="auto"/>
        <w:rPr>
          <w:rFonts w:ascii="Arial" w:cs="Arial" w:hAnsi="Arial" w:eastAsia="Arial"/>
        </w:rPr>
      </w:pPr>
    </w:p>
    <w:p>
      <w:pPr>
        <w:pStyle w:val="Body A"/>
        <w:spacing w:line="480" w:lineRule="auto"/>
        <w:rPr>
          <w:rFonts w:ascii="Arial" w:cs="Arial" w:hAnsi="Arial" w:eastAsia="Arial"/>
        </w:rPr>
      </w:pPr>
    </w:p>
    <w:p>
      <w:pPr>
        <w:pStyle w:val="Body A"/>
        <w:spacing w:line="480" w:lineRule="auto"/>
        <w:rPr>
          <w:rFonts w:ascii="Arial" w:cs="Arial" w:hAnsi="Arial" w:eastAsia="Arial"/>
        </w:rPr>
      </w:pPr>
    </w:p>
    <w:p>
      <w:pPr>
        <w:pStyle w:val="Body A"/>
        <w:spacing w:line="480" w:lineRule="auto"/>
        <w:rPr>
          <w:rFonts w:ascii="Arial" w:cs="Arial" w:hAnsi="Arial" w:eastAsia="Arial"/>
        </w:rPr>
      </w:pPr>
    </w:p>
    <w:p>
      <w:pPr>
        <w:pStyle w:val="Body A"/>
        <w:spacing w:line="480" w:lineRule="auto"/>
        <w:rPr>
          <w:rFonts w:ascii="Arial" w:cs="Arial" w:hAnsi="Arial" w:eastAsia="Arial"/>
        </w:rPr>
      </w:pPr>
    </w:p>
    <w:p>
      <w:pPr>
        <w:pStyle w:val="Body A"/>
        <w:spacing w:line="480" w:lineRule="auto"/>
        <w:rPr>
          <w:rFonts w:ascii="Arial" w:cs="Arial" w:hAnsi="Arial" w:eastAsia="Arial"/>
        </w:rPr>
      </w:pPr>
    </w:p>
    <w:p>
      <w:pPr>
        <w:pStyle w:val="Body A"/>
        <w:spacing w:line="480" w:lineRule="auto"/>
        <w:rPr>
          <w:rFonts w:ascii="Arial" w:cs="Arial" w:hAnsi="Arial" w:eastAsia="Arial"/>
        </w:rPr>
      </w:pPr>
    </w:p>
    <w:p>
      <w:pPr>
        <w:pStyle w:val="Body A"/>
        <w:widowControl w:val="0"/>
        <w:spacing w:line="480" w:lineRule="auto"/>
        <w:ind w:left="108" w:hanging="108"/>
        <w:rPr>
          <w:rFonts w:ascii="Arial" w:cs="Arial" w:hAnsi="Arial" w:eastAsia="Arial"/>
        </w:rPr>
      </w:pPr>
    </w:p>
    <w:p>
      <w:pPr>
        <w:pStyle w:val="Body A"/>
        <w:widowControl w:val="0"/>
        <w:spacing w:line="480" w:lineRule="auto"/>
        <w:ind w:left="108" w:hanging="108"/>
        <w:rPr>
          <w:rFonts w:ascii="Arial" w:cs="Arial" w:hAnsi="Arial" w:eastAsia="Arial"/>
        </w:rPr>
      </w:pPr>
    </w:p>
    <w:p>
      <w:pPr>
        <w:pStyle w:val="Body A"/>
        <w:widowControl w:val="0"/>
        <w:spacing w:line="480" w:lineRule="auto"/>
        <w:ind w:left="108" w:hanging="108"/>
        <w:rPr>
          <w:rFonts w:ascii="Arial" w:cs="Arial" w:hAnsi="Arial" w:eastAsia="Arial"/>
        </w:rPr>
      </w:pPr>
    </w:p>
    <w:p>
      <w:pPr>
        <w:pStyle w:val="Body A"/>
        <w:widowControl w:val="0"/>
        <w:spacing w:line="480" w:lineRule="auto"/>
        <w:ind w:left="108" w:hanging="108"/>
        <w:rPr>
          <w:rFonts w:ascii="Arial" w:cs="Arial" w:hAnsi="Arial" w:eastAsia="Arial"/>
        </w:rPr>
      </w:pPr>
    </w:p>
    <w:p>
      <w:pPr>
        <w:pStyle w:val="Body A"/>
        <w:spacing w:line="480" w:lineRule="auto"/>
        <w:rPr>
          <w:rFonts w:ascii="Arial" w:cs="Arial" w:hAnsi="Arial" w:eastAsia="Arial"/>
        </w:rPr>
      </w:pPr>
    </w:p>
    <w:p>
      <w:pPr>
        <w:pStyle w:val="Body A"/>
        <w:spacing w:line="480" w:lineRule="auto"/>
        <w:rPr>
          <w:rFonts w:ascii="Arial" w:cs="Arial" w:hAnsi="Arial" w:eastAsia="Arial"/>
        </w:rPr>
      </w:pP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References</w:t>
      </w:r>
    </w:p>
    <w:p>
      <w:pPr>
        <w:pStyle w:val="Body A"/>
        <w:spacing w:line="480" w:lineRule="auto"/>
        <w:rPr>
          <w:rFonts w:ascii="Arial" w:cs="Arial" w:hAnsi="Arial" w:eastAsia="Arial"/>
        </w:rPr>
      </w:pPr>
    </w:p>
    <w:p>
      <w:pPr>
        <w:pStyle w:val="Default"/>
        <w:spacing w:before="0" w:line="480" w:lineRule="auto"/>
        <w:rPr>
          <w:rFonts w:ascii="Arial" w:cs="Arial" w:hAnsi="Arial" w:eastAsia="Arial"/>
          <w:outline w:val="0"/>
          <w:color w:val="222222"/>
          <w:sz w:val="22"/>
          <w:szCs w:val="22"/>
          <w:u w:color="222222"/>
          <w:shd w:val="clear" w:color="auto" w:fill="ffffff"/>
          <w14:textFill>
            <w14:solidFill>
              <w14:srgbClr w14:val="222222"/>
            </w14:solidFill>
          </w14:textFill>
        </w:rPr>
      </w:pPr>
      <w:r>
        <w:rPr>
          <w:rFonts w:ascii="Arial" w:hAnsi="Arial"/>
          <w:outline w:val="0"/>
          <w:color w:val="222222"/>
          <w:sz w:val="22"/>
          <w:szCs w:val="22"/>
          <w:u w:color="222222"/>
          <w:shd w:val="clear" w:color="auto" w:fill="ffffff"/>
          <w:rtl w:val="0"/>
          <w:lang w:val="nl-NL"/>
          <w14:textFill>
            <w14:solidFill>
              <w14:srgbClr w14:val="222222"/>
            </w14:solidFill>
          </w14:textFill>
        </w:rPr>
        <w:t>Aarons, M., &amp; Gittens, T. (2002).</w:t>
      </w:r>
      <w:r>
        <w:rPr>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Fonts w:ascii="Arial" w:hAnsi="Arial"/>
          <w:outline w:val="0"/>
          <w:color w:val="222222"/>
          <w:sz w:val="22"/>
          <w:szCs w:val="22"/>
          <w:u w:color="222222"/>
          <w:shd w:val="clear" w:color="auto" w:fill="ffffff"/>
          <w:rtl w:val="0"/>
          <w:lang w:val="en-US"/>
          <w14:textFill>
            <w14:solidFill>
              <w14:srgbClr w14:val="222222"/>
            </w14:solidFill>
          </w14:textFill>
        </w:rPr>
        <w:t>The handbook of autism: a guide for parents and professionals. Routledge.</w:t>
      </w:r>
    </w:p>
    <w:p>
      <w:pPr>
        <w:pStyle w:val="Default"/>
        <w:spacing w:before="0" w:line="480" w:lineRule="auto"/>
        <w:rPr>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480" w:lineRule="auto"/>
        <w:rPr>
          <w:rStyle w:val="None"/>
          <w:rFonts w:ascii="Arial" w:cs="Arial" w:hAnsi="Arial" w:eastAsia="Arial"/>
          <w:sz w:val="22"/>
          <w:szCs w:val="22"/>
        </w:rPr>
      </w:pPr>
      <w:r>
        <w:rPr>
          <w:rFonts w:ascii="Arial" w:hAnsi="Arial"/>
          <w:sz w:val="22"/>
          <w:szCs w:val="22"/>
          <w:rtl w:val="0"/>
          <w:lang w:val="en-US"/>
        </w:rPr>
        <w:t xml:space="preserve">Autism Awareness Course Diploma | Learn About Autism. (2016). Centre of Excellence. </w:t>
      </w:r>
      <w:r>
        <w:rPr>
          <w:rStyle w:val="Hyperlink.0"/>
        </w:rPr>
        <w:fldChar w:fldCharType="begin" w:fldLock="0"/>
      </w:r>
      <w:r>
        <w:rPr>
          <w:rStyle w:val="Hyperlink.0"/>
        </w:rPr>
        <w:instrText xml:space="preserve"> HYPERLINK "https://www.centreofexcellence.com/shop/autism-awareness-diploma-course/"</w:instrText>
      </w:r>
      <w:r>
        <w:rPr>
          <w:rStyle w:val="Hyperlink.0"/>
        </w:rPr>
        <w:fldChar w:fldCharType="separate" w:fldLock="0"/>
      </w:r>
      <w:r>
        <w:rPr>
          <w:rStyle w:val="Hyperlink.0"/>
          <w:rtl w:val="0"/>
          <w:lang w:val="en-US"/>
        </w:rPr>
        <w:t>https://www.centreofexcellence.com/shop/autism-awareness-diploma-course/</w:t>
      </w:r>
      <w:r>
        <w:rPr/>
        <w:fldChar w:fldCharType="end" w:fldLock="0"/>
      </w:r>
    </w:p>
    <w:p>
      <w:pPr>
        <w:pStyle w:val="Default"/>
        <w:spacing w:before="0" w:line="480" w:lineRule="auto"/>
        <w:rPr>
          <w:rStyle w:val="None"/>
          <w:rFonts w:ascii="Arial" w:cs="Arial" w:hAnsi="Arial" w:eastAsia="Arial"/>
          <w:sz w:val="22"/>
          <w:szCs w:val="22"/>
        </w:rPr>
      </w:pP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sz w:val="22"/>
          <w:szCs w:val="22"/>
          <w:rtl w:val="0"/>
          <w:lang w:val="en-US"/>
        </w:rPr>
        <w:t>BACP. (2019, April 11). British Association for Counselling and Psychotherapy. Bacp.co.uk. https://www.bacp.co.uk/</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after="240" w:line="480" w:lineRule="auto"/>
        <w:ind w:left="57" w:hanging="19"/>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sz w:val="22"/>
          <w:szCs w:val="22"/>
          <w:rtl w:val="0"/>
          <w:lang w:val="en-US"/>
        </w:rPr>
        <w:t xml:space="preserve">BACP. (2022, January). Scoped frameword January 2022 - BACP. ScopEd Framework. Retrieved December 28, 2022, from </w:t>
      </w:r>
      <w:r>
        <w:rPr>
          <w:rStyle w:val="Hyperlink.0"/>
        </w:rPr>
        <w:fldChar w:fldCharType="begin" w:fldLock="0"/>
      </w:r>
      <w:r>
        <w:rPr>
          <w:rStyle w:val="Hyperlink.0"/>
        </w:rPr>
        <w:instrText xml:space="preserve"> HYPERLINK "https://www.bacp.co.uk/media/14435/scoped-framework-january-2022.pdf"</w:instrText>
      </w:r>
      <w:r>
        <w:rPr>
          <w:rStyle w:val="Hyperlink.0"/>
        </w:rPr>
        <w:fldChar w:fldCharType="separate" w:fldLock="0"/>
      </w:r>
      <w:r>
        <w:rPr>
          <w:rStyle w:val="Hyperlink.0"/>
          <w:rtl w:val="0"/>
          <w:lang w:val="en-US"/>
        </w:rPr>
        <w:t>https://www.bacp.co.uk/media/14435/scoped-framework-january-2022.pdf</w:t>
      </w:r>
      <w:r>
        <w:rPr/>
        <w:fldChar w:fldCharType="end" w:fldLock="0"/>
      </w:r>
    </w:p>
    <w:p>
      <w:pPr>
        <w:pStyle w:val="Default"/>
        <w:spacing w:before="0" w:line="480" w:lineRule="auto"/>
        <w:ind w:left="57" w:firstLine="3"/>
        <w:rPr>
          <w:rStyle w:val="None"/>
          <w:rFonts w:ascii="Arial" w:cs="Arial" w:hAnsi="Arial" w:eastAsia="Arial"/>
          <w:sz w:val="22"/>
          <w:szCs w:val="22"/>
        </w:rPr>
      </w:pPr>
      <w:r>
        <w:rPr>
          <w:rStyle w:val="None"/>
          <w:rFonts w:ascii="Arial" w:hAnsi="Arial"/>
          <w:sz w:val="22"/>
          <w:szCs w:val="22"/>
          <w:rtl w:val="0"/>
          <w:lang w:val="en-US"/>
        </w:rPr>
        <w:t xml:space="preserve">BACP Ethical Framework for the Counselling Professions. (n.d.). </w:t>
      </w:r>
      <w:r>
        <w:rPr>
          <w:rStyle w:val="Hyperlink.0"/>
        </w:rPr>
        <w:fldChar w:fldCharType="begin" w:fldLock="0"/>
      </w:r>
      <w:r>
        <w:rPr>
          <w:rStyle w:val="Hyperlink.0"/>
        </w:rPr>
        <w:instrText xml:space="preserve"> HYPERLINK "https://www.bacp.co.uk/events-and-resources/ethics-and-standards/ethical-framework-for-the-counselling-professions/"</w:instrText>
      </w:r>
      <w:r>
        <w:rPr>
          <w:rStyle w:val="Hyperlink.0"/>
        </w:rPr>
        <w:fldChar w:fldCharType="separate" w:fldLock="0"/>
      </w:r>
      <w:r>
        <w:rPr>
          <w:rStyle w:val="Hyperlink.0"/>
          <w:rtl w:val="0"/>
          <w:lang w:val="en-US"/>
        </w:rPr>
        <w:t>https://www.bacp.co.uk/events-and-resources/ethics-and-standards/ethical-framework-for-the-counselling-professions/</w:t>
      </w:r>
      <w:r>
        <w:rPr/>
        <w:fldChar w:fldCharType="end" w:fldLock="0"/>
      </w:r>
    </w:p>
    <w:p>
      <w:pPr>
        <w:pStyle w:val="Default"/>
        <w:spacing w:before="0" w:line="480" w:lineRule="auto"/>
        <w:ind w:left="57" w:firstLine="3"/>
        <w:rPr>
          <w:rStyle w:val="None"/>
          <w:rFonts w:ascii="Arial" w:cs="Arial" w:hAnsi="Arial" w:eastAsia="Arial"/>
          <w:sz w:val="22"/>
          <w:szCs w:val="22"/>
        </w:rPr>
      </w:pPr>
    </w:p>
    <w:p>
      <w:pPr>
        <w:pStyle w:val="Default"/>
        <w:spacing w:before="0" w:after="240" w:line="480" w:lineRule="auto"/>
        <w:ind w:left="57" w:firstLine="3"/>
        <w:rPr>
          <w:rStyle w:val="None"/>
          <w:rFonts w:ascii="Arial" w:cs="Arial" w:hAnsi="Arial" w:eastAsia="Arial"/>
          <w:sz w:val="22"/>
          <w:szCs w:val="22"/>
        </w:rPr>
      </w:pPr>
      <w:r>
        <w:rPr>
          <w:rStyle w:val="None"/>
          <w:rFonts w:ascii="Arial" w:hAnsi="Arial"/>
          <w:sz w:val="22"/>
          <w:szCs w:val="22"/>
          <w:rtl w:val="0"/>
          <w:lang w:val="en-US"/>
        </w:rPr>
        <w:t xml:space="preserve">Barnes, P. (2020, April 3). What is high-functioning autism? </w:t>
      </w:r>
      <w:r>
        <w:rPr>
          <w:rStyle w:val="None"/>
          <w:rFonts w:ascii="Arial" w:hAnsi="Arial" w:hint="default"/>
          <w:sz w:val="22"/>
          <w:szCs w:val="22"/>
          <w:rtl w:val="0"/>
          <w:lang w:val="en-US"/>
        </w:rPr>
        <w:t xml:space="preserve">• </w:t>
      </w:r>
      <w:r>
        <w:rPr>
          <w:rStyle w:val="None"/>
          <w:rFonts w:ascii="Arial" w:hAnsi="Arial"/>
          <w:sz w:val="22"/>
          <w:szCs w:val="22"/>
          <w:rtl w:val="0"/>
          <w:lang w:val="en-US"/>
        </w:rPr>
        <w:t>sen magazine. SEN Magazine. Retrieved December 28, 2022, from https://senmagazine.co.uk/content/specific-needs/autism-asd/7801/what-is-high-functioning-autism/</w:t>
      </w:r>
    </w:p>
    <w:p>
      <w:pPr>
        <w:pStyle w:val="Default"/>
        <w:spacing w:before="0" w:after="240" w:line="480" w:lineRule="auto"/>
        <w:rPr>
          <w:rStyle w:val="None"/>
          <w:rFonts w:ascii="Arial" w:cs="Arial" w:hAnsi="Arial" w:eastAsia="Arial"/>
          <w:sz w:val="22"/>
          <w:szCs w:val="22"/>
        </w:rPr>
      </w:pPr>
      <w:r>
        <w:rPr>
          <w:rStyle w:val="None"/>
          <w:rFonts w:ascii="Arial" w:hAnsi="Arial"/>
          <w:sz w:val="22"/>
          <w:szCs w:val="22"/>
          <w:rtl w:val="0"/>
          <w:lang w:val="en-US"/>
        </w:rPr>
        <w:t>Baron-Cohen, S., Leslie, A. M., &amp; Frith, U. (1985). Does the autistic child have a "theory of mind"?.</w:t>
      </w:r>
      <w:r>
        <w:rPr>
          <w:rStyle w:val="None"/>
          <w:rFonts w:ascii="Arial" w:hAnsi="Arial" w:hint="default"/>
          <w:sz w:val="22"/>
          <w:szCs w:val="22"/>
          <w:rtl w:val="0"/>
          <w:lang w:val="en-US"/>
        </w:rPr>
        <w:t> </w:t>
      </w:r>
      <w:r>
        <w:rPr>
          <w:rStyle w:val="None"/>
          <w:rFonts w:ascii="Arial" w:hAnsi="Arial"/>
          <w:sz w:val="22"/>
          <w:szCs w:val="22"/>
          <w:rtl w:val="0"/>
          <w:lang w:val="en-US"/>
        </w:rPr>
        <w:t>Cognition,</w:t>
      </w:r>
      <w:r>
        <w:rPr>
          <w:rStyle w:val="None"/>
          <w:rFonts w:ascii="Arial" w:hAnsi="Arial" w:hint="default"/>
          <w:sz w:val="22"/>
          <w:szCs w:val="22"/>
          <w:rtl w:val="0"/>
          <w:lang w:val="en-US"/>
        </w:rPr>
        <w:t> </w:t>
      </w:r>
      <w:r>
        <w:rPr>
          <w:rStyle w:val="None"/>
          <w:rFonts w:ascii="Arial" w:hAnsi="Arial"/>
          <w:sz w:val="22"/>
          <w:szCs w:val="22"/>
          <w:rtl w:val="0"/>
          <w:lang w:val="en-US"/>
        </w:rPr>
        <w:t>21(1), 37</w:t>
      </w:r>
      <w:r>
        <w:rPr>
          <w:rStyle w:val="None"/>
          <w:rFonts w:ascii="Arial" w:hAnsi="Arial" w:hint="default"/>
          <w:sz w:val="22"/>
          <w:szCs w:val="22"/>
          <w:rtl w:val="0"/>
          <w:lang w:val="en-US"/>
        </w:rPr>
        <w:t>–</w:t>
      </w:r>
      <w:r>
        <w:rPr>
          <w:rStyle w:val="None"/>
          <w:rFonts w:ascii="Arial" w:hAnsi="Arial"/>
          <w:sz w:val="22"/>
          <w:szCs w:val="22"/>
          <w:rtl w:val="0"/>
          <w:lang w:val="en-US"/>
        </w:rPr>
        <w:t xml:space="preserve">46. </w:t>
      </w:r>
      <w:r>
        <w:rPr>
          <w:rStyle w:val="Hyperlink.0"/>
        </w:rPr>
        <w:fldChar w:fldCharType="begin" w:fldLock="0"/>
      </w:r>
      <w:r>
        <w:rPr>
          <w:rStyle w:val="Hyperlink.0"/>
        </w:rPr>
        <w:instrText xml:space="preserve"> HYPERLINK "https://doi.org/10.1016/0010-0277(85)90022-8"</w:instrText>
      </w:r>
      <w:r>
        <w:rPr>
          <w:rStyle w:val="Hyperlink.0"/>
        </w:rPr>
        <w:fldChar w:fldCharType="separate" w:fldLock="0"/>
      </w:r>
      <w:r>
        <w:rPr>
          <w:rStyle w:val="Hyperlink.0"/>
          <w:rtl w:val="0"/>
          <w:lang w:val="en-US"/>
        </w:rPr>
        <w:t>https://doi.org/10.1016/0010-0277(85)90022-8</w:t>
      </w:r>
      <w:r>
        <w:rPr/>
        <w:fldChar w:fldCharType="end" w:fldLock="0"/>
      </w:r>
    </w:p>
    <w:p>
      <w:pPr>
        <w:pStyle w:val="Default"/>
        <w:spacing w:before="0" w:line="480" w:lineRule="auto"/>
        <w:rPr>
          <w:rStyle w:val="None"/>
          <w:rFonts w:ascii="Arial" w:cs="Arial" w:hAnsi="Arial" w:eastAsia="Arial"/>
          <w:sz w:val="22"/>
          <w:szCs w:val="22"/>
        </w:rPr>
      </w:pPr>
      <w:r>
        <w:rPr>
          <w:rStyle w:val="None"/>
          <w:rFonts w:ascii="Arial" w:hAnsi="Arial"/>
          <w:sz w:val="22"/>
          <w:szCs w:val="22"/>
          <w:rtl w:val="0"/>
          <w:lang w:val="en-US"/>
        </w:rPr>
        <w:t xml:space="preserve">BEd (Hons) Primary (Special Educational Needs with QTS). (n.d.). University of Plymouth. Retrieved December 14, 2022, from </w:t>
      </w:r>
      <w:r>
        <w:rPr>
          <w:rStyle w:val="Hyperlink.0"/>
        </w:rPr>
        <w:fldChar w:fldCharType="begin" w:fldLock="0"/>
      </w:r>
      <w:r>
        <w:rPr>
          <w:rStyle w:val="Hyperlink.0"/>
        </w:rPr>
        <w:instrText xml:space="preserve"> HYPERLINK "http://www.plymouth.ac.uk/courses/undergraduate/bed-primary-special-educational-needs-with-qts"</w:instrText>
      </w:r>
      <w:r>
        <w:rPr>
          <w:rStyle w:val="Hyperlink.0"/>
        </w:rPr>
        <w:fldChar w:fldCharType="separate" w:fldLock="0"/>
      </w:r>
      <w:r>
        <w:rPr>
          <w:rStyle w:val="Hyperlink.0"/>
          <w:rtl w:val="0"/>
          <w:lang w:val="en-US"/>
        </w:rPr>
        <w:t>http://www.plymouth.ac.uk/courses/undergraduate/bed-primary-special-educational-needs-with-qts</w:t>
      </w:r>
      <w:r>
        <w:rPr/>
        <w:fldChar w:fldCharType="end" w:fldLock="0"/>
      </w:r>
    </w:p>
    <w:p>
      <w:pPr>
        <w:pStyle w:val="Default"/>
        <w:spacing w:before="0" w:line="480" w:lineRule="auto"/>
        <w:rPr>
          <w:rStyle w:val="None"/>
          <w:rFonts w:ascii="Arial" w:cs="Arial" w:hAnsi="Arial" w:eastAsia="Arial"/>
          <w:sz w:val="22"/>
          <w:szCs w:val="22"/>
        </w:rPr>
      </w:pPr>
    </w:p>
    <w:p>
      <w:pPr>
        <w:pStyle w:val="Default"/>
        <w:spacing w:before="0" w:line="480" w:lineRule="auto"/>
        <w:rPr>
          <w:rStyle w:val="None"/>
          <w:rFonts w:ascii="Arial" w:cs="Arial" w:hAnsi="Arial" w:eastAsia="Arial"/>
          <w:outline w:val="0"/>
          <w:color w:val="3a3a3a"/>
          <w:sz w:val="22"/>
          <w:szCs w:val="22"/>
          <w:u w:color="3a3a3a"/>
          <w:shd w:val="clear" w:color="auto" w:fill="ffffff"/>
          <w14:textFill>
            <w14:solidFill>
              <w14:srgbClr w14:val="3A3A3A"/>
            </w14:solidFill>
          </w14:textFill>
        </w:rPr>
      </w:pPr>
      <w:r>
        <w:rPr>
          <w:rStyle w:val="None"/>
          <w:rFonts w:ascii="Arial" w:hAnsi="Arial"/>
          <w:outline w:val="0"/>
          <w:color w:val="3a3a3a"/>
          <w:sz w:val="22"/>
          <w:szCs w:val="22"/>
          <w:u w:color="3a3a3a"/>
          <w:shd w:val="clear" w:color="auto" w:fill="ffffff"/>
          <w:rtl w:val="0"/>
          <w:lang w:val="en-US"/>
          <w14:textFill>
            <w14:solidFill>
              <w14:srgbClr w14:val="3A3A3A"/>
            </w14:solidFill>
          </w14:textFill>
        </w:rPr>
        <w:t>Booth, &amp; Happ</w:t>
      </w:r>
      <w:r>
        <w:rPr>
          <w:rStyle w:val="None"/>
          <w:rFonts w:ascii="Arial" w:hAnsi="Arial" w:hint="default"/>
          <w:outline w:val="0"/>
          <w:color w:val="3a3a3a"/>
          <w:sz w:val="22"/>
          <w:szCs w:val="22"/>
          <w:u w:color="3a3a3a"/>
          <w:shd w:val="clear" w:color="auto" w:fill="ffffff"/>
          <w:rtl w:val="0"/>
          <w:lang w:val="fr-FR"/>
          <w14:textFill>
            <w14:solidFill>
              <w14:srgbClr w14:val="3A3A3A"/>
            </w14:solidFill>
          </w14:textFill>
        </w:rPr>
        <w:t>é</w:t>
      </w:r>
      <w:r>
        <w:rPr>
          <w:rStyle w:val="None"/>
          <w:rFonts w:ascii="Arial" w:hAnsi="Arial"/>
          <w:outline w:val="0"/>
          <w:color w:val="3a3a3a"/>
          <w:sz w:val="22"/>
          <w:szCs w:val="22"/>
          <w:u w:color="3a3a3a"/>
          <w:shd w:val="clear" w:color="auto" w:fill="ffffff"/>
          <w:rtl w:val="0"/>
          <w:lang w:val="en-US"/>
          <w14:textFill>
            <w14:solidFill>
              <w14:srgbClr w14:val="3A3A3A"/>
            </w14:solidFill>
          </w14:textFill>
        </w:rPr>
        <w:t>, F. G. E. (2016). Evidence of Reduced Global Processing in Autism Spectrum Disorder.</w:t>
      </w:r>
      <w:r>
        <w:rPr>
          <w:rStyle w:val="None"/>
          <w:rFonts w:ascii="Arial" w:hAnsi="Arial" w:hint="default"/>
          <w:outline w:val="0"/>
          <w:color w:val="3a3a3a"/>
          <w:sz w:val="22"/>
          <w:szCs w:val="22"/>
          <w:u w:color="3a3a3a"/>
          <w:shd w:val="clear" w:color="auto" w:fill="ffffff"/>
          <w:rtl w:val="0"/>
          <w:lang w:val="en-US"/>
          <w14:textFill>
            <w14:solidFill>
              <w14:srgbClr w14:val="3A3A3A"/>
            </w14:solidFill>
          </w14:textFill>
        </w:rPr>
        <w:t> </w:t>
      </w:r>
      <w:r>
        <w:rPr>
          <w:rStyle w:val="None"/>
          <w:rFonts w:ascii="Arial" w:hAnsi="Arial"/>
          <w:outline w:val="0"/>
          <w:color w:val="3a3a3a"/>
          <w:sz w:val="22"/>
          <w:szCs w:val="22"/>
          <w:u w:color="3a3a3a"/>
          <w:shd w:val="clear" w:color="auto" w:fill="ffffff"/>
          <w:rtl w:val="0"/>
          <w:lang w:val="en-US"/>
          <w14:textFill>
            <w14:solidFill>
              <w14:srgbClr w14:val="3A3A3A"/>
            </w14:solidFill>
          </w14:textFill>
        </w:rPr>
        <w:t>Journal of Autism and Developmental Disorders,</w:t>
      </w:r>
      <w:r>
        <w:rPr>
          <w:rStyle w:val="None"/>
          <w:rFonts w:ascii="Arial" w:hAnsi="Arial" w:hint="default"/>
          <w:outline w:val="0"/>
          <w:color w:val="3a3a3a"/>
          <w:sz w:val="22"/>
          <w:szCs w:val="22"/>
          <w:u w:color="3a3a3a"/>
          <w:shd w:val="clear" w:color="auto" w:fill="ffffff"/>
          <w:rtl w:val="0"/>
          <w:lang w:val="en-US"/>
          <w14:textFill>
            <w14:solidFill>
              <w14:srgbClr w14:val="3A3A3A"/>
            </w14:solidFill>
          </w14:textFill>
        </w:rPr>
        <w:t> </w:t>
      </w:r>
      <w:r>
        <w:rPr>
          <w:rStyle w:val="None"/>
          <w:rFonts w:ascii="Arial" w:hAnsi="Arial"/>
          <w:outline w:val="0"/>
          <w:color w:val="3a3a3a"/>
          <w:sz w:val="22"/>
          <w:szCs w:val="22"/>
          <w:u w:color="3a3a3a"/>
          <w:shd w:val="clear" w:color="auto" w:fill="ffffff"/>
          <w:rtl w:val="0"/>
          <w:lang w:val="en-US"/>
          <w14:textFill>
            <w14:solidFill>
              <w14:srgbClr w14:val="3A3A3A"/>
            </w14:solidFill>
          </w14:textFill>
        </w:rPr>
        <w:t>48(4), 1397</w:t>
      </w:r>
      <w:r>
        <w:rPr>
          <w:rStyle w:val="None"/>
          <w:rFonts w:ascii="Arial" w:hAnsi="Arial" w:hint="default"/>
          <w:outline w:val="0"/>
          <w:color w:val="3a3a3a"/>
          <w:sz w:val="22"/>
          <w:szCs w:val="22"/>
          <w:u w:color="3a3a3a"/>
          <w:shd w:val="clear" w:color="auto" w:fill="ffffff"/>
          <w:rtl w:val="0"/>
          <w:lang w:val="en-US"/>
          <w14:textFill>
            <w14:solidFill>
              <w14:srgbClr w14:val="3A3A3A"/>
            </w14:solidFill>
          </w14:textFill>
        </w:rPr>
        <w:t>–</w:t>
      </w:r>
      <w:r>
        <w:rPr>
          <w:rStyle w:val="None"/>
          <w:rFonts w:ascii="Arial" w:hAnsi="Arial"/>
          <w:outline w:val="0"/>
          <w:color w:val="3a3a3a"/>
          <w:sz w:val="22"/>
          <w:szCs w:val="22"/>
          <w:u w:color="3a3a3a"/>
          <w:shd w:val="clear" w:color="auto" w:fill="ffffff"/>
          <w:rtl w:val="0"/>
          <w:lang w:val="en-US"/>
          <w14:textFill>
            <w14:solidFill>
              <w14:srgbClr w14:val="3A3A3A"/>
            </w14:solidFill>
          </w14:textFill>
        </w:rPr>
        <w:t xml:space="preserve">1408. </w:t>
      </w:r>
      <w:r>
        <w:rPr>
          <w:rStyle w:val="Hyperlink.1"/>
          <w:rFonts w:ascii="Arial" w:cs="Arial" w:hAnsi="Arial" w:eastAsia="Arial"/>
          <w:outline w:val="0"/>
          <w:color w:val="0000ff"/>
          <w:sz w:val="22"/>
          <w:szCs w:val="22"/>
          <w:u w:val="single" w:color="0000ff"/>
          <w:shd w:val="clear" w:color="auto" w:fill="ffffff"/>
          <w:lang w:val="en-US"/>
          <w14:textFill>
            <w14:solidFill>
              <w14:srgbClr w14:val="0000FF"/>
            </w14:solidFill>
          </w14:textFill>
        </w:rPr>
        <w:fldChar w:fldCharType="begin" w:fldLock="0"/>
      </w:r>
      <w:r>
        <w:rPr>
          <w:rStyle w:val="Hyperlink.1"/>
          <w:rFonts w:ascii="Arial" w:cs="Arial" w:hAnsi="Arial" w:eastAsia="Arial"/>
          <w:outline w:val="0"/>
          <w:color w:val="0000ff"/>
          <w:sz w:val="22"/>
          <w:szCs w:val="22"/>
          <w:u w:val="single" w:color="0000ff"/>
          <w:shd w:val="clear" w:color="auto" w:fill="ffffff"/>
          <w:lang w:val="en-US"/>
          <w14:textFill>
            <w14:solidFill>
              <w14:srgbClr w14:val="0000FF"/>
            </w14:solidFill>
          </w14:textFill>
        </w:rPr>
        <w:instrText xml:space="preserve"> HYPERLINK "https://doi.org/10.1007/s10803-016-2724-6"</w:instrText>
      </w:r>
      <w:r>
        <w:rPr>
          <w:rStyle w:val="Hyperlink.1"/>
          <w:rFonts w:ascii="Arial" w:cs="Arial" w:hAnsi="Arial" w:eastAsia="Arial"/>
          <w:outline w:val="0"/>
          <w:color w:val="0000ff"/>
          <w:sz w:val="22"/>
          <w:szCs w:val="22"/>
          <w:u w:val="single" w:color="0000ff"/>
          <w:shd w:val="clear" w:color="auto" w:fill="ffffff"/>
          <w:lang w:val="en-US"/>
          <w14:textFill>
            <w14:solidFill>
              <w14:srgbClr w14:val="0000FF"/>
            </w14:solidFill>
          </w14:textFill>
        </w:rPr>
        <w:fldChar w:fldCharType="separate" w:fldLock="0"/>
      </w:r>
      <w:r>
        <w:rPr>
          <w:rStyle w:val="Hyperlink.1"/>
          <w:rFonts w:ascii="Arial" w:hAnsi="Arial"/>
          <w:outline w:val="0"/>
          <w:color w:val="0000ff"/>
          <w:sz w:val="22"/>
          <w:szCs w:val="22"/>
          <w:u w:val="single" w:color="0000ff"/>
          <w:shd w:val="clear" w:color="auto" w:fill="ffffff"/>
          <w:rtl w:val="0"/>
          <w:lang w:val="en-US"/>
          <w14:textFill>
            <w14:solidFill>
              <w14:srgbClr w14:val="0000FF"/>
            </w14:solidFill>
          </w14:textFill>
        </w:rPr>
        <w:t>https://doi.org/10.1007/s10803-016-2724-6</w:t>
      </w:r>
      <w:r>
        <w:rPr/>
        <w:fldChar w:fldCharType="end" w:fldLock="0"/>
      </w:r>
    </w:p>
    <w:p>
      <w:pPr>
        <w:pStyle w:val="Default"/>
        <w:spacing w:before="0" w:line="480" w:lineRule="auto"/>
        <w:rPr>
          <w:rStyle w:val="None"/>
          <w:rFonts w:ascii="Arial" w:cs="Arial" w:hAnsi="Arial" w:eastAsia="Arial"/>
          <w:outline w:val="0"/>
          <w:color w:val="3a3a3a"/>
          <w:sz w:val="22"/>
          <w:szCs w:val="22"/>
          <w:u w:color="3a3a3a"/>
          <w:shd w:val="clear" w:color="auto" w:fill="ffffff"/>
          <w14:textFill>
            <w14:solidFill>
              <w14:srgbClr w14:val="3A3A3A"/>
            </w14:solidFill>
          </w14:textFill>
        </w:rPr>
      </w:pP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333333"/>
          <w:sz w:val="22"/>
          <w:szCs w:val="22"/>
          <w:u w:color="333333"/>
          <w:shd w:val="clear" w:color="auto" w:fill="ffffff"/>
          <w:rtl w:val="0"/>
          <w:lang w:val="en-US"/>
          <w14:textFill>
            <w14:solidFill>
              <w14:srgbClr w14:val="333333"/>
            </w14:solidFill>
          </w14:textFill>
        </w:rPr>
        <w:t>Bryson, S. E., Landry, R., &amp; Wainwright, J. A. (1997). A componential view of executive dysfunction in autism: Review of recent evidence. In J. A. Burack &amp; J. T. Enns (Eds.),</w:t>
      </w:r>
      <w:r>
        <w:rPr>
          <w:rStyle w:val="None"/>
          <w:rFonts w:ascii="Arial" w:hAnsi="Arial" w:hint="default"/>
          <w:outline w:val="0"/>
          <w:color w:val="333333"/>
          <w:sz w:val="22"/>
          <w:szCs w:val="22"/>
          <w:u w:color="333333"/>
          <w:shd w:val="clear" w:color="auto" w:fill="ffffff"/>
          <w:rtl w:val="0"/>
          <w:lang w:val="en-US"/>
          <w14:textFill>
            <w14:solidFill>
              <w14:srgbClr w14:val="333333"/>
            </w14:solidFill>
          </w14:textFill>
        </w:rPr>
        <w:t> </w:t>
      </w:r>
      <w:r>
        <w:rPr>
          <w:rStyle w:val="None"/>
          <w:rFonts w:ascii="Arial" w:hAnsi="Arial"/>
          <w:outline w:val="0"/>
          <w:color w:val="333333"/>
          <w:sz w:val="22"/>
          <w:szCs w:val="22"/>
          <w:u w:color="333333"/>
          <w:shd w:val="clear" w:color="auto" w:fill="ffffff"/>
          <w:rtl w:val="0"/>
          <w:lang w:val="en-US"/>
          <w14:textFill>
            <w14:solidFill>
              <w14:srgbClr w14:val="333333"/>
            </w14:solidFill>
          </w14:textFill>
        </w:rPr>
        <w:t>Attention, development, and psychopathology</w:t>
      </w:r>
      <w:r>
        <w:rPr>
          <w:rStyle w:val="None"/>
          <w:rFonts w:ascii="Arial" w:hAnsi="Arial" w:hint="default"/>
          <w:outline w:val="0"/>
          <w:color w:val="333333"/>
          <w:sz w:val="22"/>
          <w:szCs w:val="22"/>
          <w:u w:color="333333"/>
          <w:shd w:val="clear" w:color="auto" w:fill="ffffff"/>
          <w:rtl w:val="0"/>
          <w:lang w:val="en-US"/>
          <w14:textFill>
            <w14:solidFill>
              <w14:srgbClr w14:val="333333"/>
            </w14:solidFill>
          </w14:textFill>
        </w:rPr>
        <w:t> </w:t>
      </w:r>
      <w:r>
        <w:rPr>
          <w:rStyle w:val="None"/>
          <w:rFonts w:ascii="Arial" w:hAnsi="Arial"/>
          <w:outline w:val="0"/>
          <w:color w:val="333333"/>
          <w:sz w:val="22"/>
          <w:szCs w:val="22"/>
          <w:u w:color="333333"/>
          <w:shd w:val="clear" w:color="auto" w:fill="ffffff"/>
          <w:rtl w:val="0"/>
          <w:lang w:val="en-US"/>
          <w14:textFill>
            <w14:solidFill>
              <w14:srgbClr w14:val="333333"/>
            </w14:solidFill>
          </w14:textFill>
        </w:rPr>
        <w:t>(pp. 232</w:t>
      </w:r>
      <w:r>
        <w:rPr>
          <w:rStyle w:val="None"/>
          <w:rFonts w:ascii="Arial" w:hAnsi="Arial" w:hint="default"/>
          <w:outline w:val="0"/>
          <w:color w:val="333333"/>
          <w:sz w:val="22"/>
          <w:szCs w:val="22"/>
          <w:u w:color="333333"/>
          <w:shd w:val="clear" w:color="auto" w:fill="ffffff"/>
          <w:rtl w:val="0"/>
          <w:lang w:val="en-US"/>
          <w14:textFill>
            <w14:solidFill>
              <w14:srgbClr w14:val="333333"/>
            </w14:solidFill>
          </w14:textFill>
        </w:rPr>
        <w:t>–</w:t>
      </w:r>
      <w:r>
        <w:rPr>
          <w:rStyle w:val="None"/>
          <w:rFonts w:ascii="Arial" w:hAnsi="Arial"/>
          <w:outline w:val="0"/>
          <w:color w:val="333333"/>
          <w:sz w:val="22"/>
          <w:szCs w:val="22"/>
          <w:u w:color="333333"/>
          <w:shd w:val="clear" w:color="auto" w:fill="ffffff"/>
          <w:rtl w:val="0"/>
          <w:lang w:val="en-US"/>
          <w14:textFill>
            <w14:solidFill>
              <w14:srgbClr w14:val="333333"/>
            </w14:solidFill>
          </w14:textFill>
        </w:rPr>
        <w:t>259). Guilford Press.</w:t>
      </w:r>
    </w:p>
    <w:p>
      <w:pPr>
        <w:pStyle w:val="Body A"/>
        <w:spacing w:line="480" w:lineRule="auto"/>
        <w:rPr>
          <w:rStyle w:val="None"/>
          <w:rFonts w:ascii="Arial" w:cs="Arial" w:hAnsi="Arial" w:eastAsia="Arial"/>
        </w:rPr>
      </w:pPr>
    </w:p>
    <w:p>
      <w:pPr>
        <w:pStyle w:val="Default"/>
        <w:spacing w:before="0" w:line="480" w:lineRule="auto"/>
        <w:rPr>
          <w:rStyle w:val="None"/>
          <w:rFonts w:ascii="Arial" w:cs="Arial" w:hAnsi="Arial" w:eastAsia="Arial"/>
          <w:sz w:val="22"/>
          <w:szCs w:val="22"/>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Cassidy, S., &amp; Rodgers, J. (2017). Understanding and prevention of suicide in autism.</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The Lancet Psychiatry,</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4</w:t>
      </w:r>
      <w:r>
        <w:rPr>
          <w:rStyle w:val="None"/>
          <w:rFonts w:ascii="Arial" w:hAnsi="Arial"/>
          <w:outline w:val="0"/>
          <w:color w:val="222222"/>
          <w:sz w:val="22"/>
          <w:szCs w:val="22"/>
          <w:u w:color="222222"/>
          <w:shd w:val="clear" w:color="auto" w:fill="ffffff"/>
          <w:rtl w:val="0"/>
          <w:lang w:val="pt-PT"/>
          <w14:textFill>
            <w14:solidFill>
              <w14:srgbClr w14:val="222222"/>
            </w14:solidFill>
          </w14:textFill>
        </w:rPr>
        <w:t>(6), e11.</w:t>
      </w:r>
    </w:p>
    <w:p>
      <w:pPr>
        <w:pStyle w:val="Body A"/>
        <w:spacing w:line="480" w:lineRule="auto"/>
        <w:rPr>
          <w:rStyle w:val="None"/>
          <w:rFonts w:ascii="Arial" w:cs="Arial" w:hAnsi="Arial" w:eastAsia="Arial"/>
        </w:rPr>
      </w:pPr>
    </w:p>
    <w:p>
      <w:pPr>
        <w:pStyle w:val="Default"/>
        <w:spacing w:before="0" w:line="480" w:lineRule="auto"/>
        <w:rPr>
          <w:rStyle w:val="None"/>
          <w:rFonts w:ascii="Arial" w:cs="Arial" w:hAnsi="Arial" w:eastAsia="Arial"/>
          <w:outline w:val="0"/>
          <w:color w:val="212121"/>
          <w:sz w:val="22"/>
          <w:szCs w:val="22"/>
          <w:u w:color="212121"/>
          <w:shd w:val="clear" w:color="auto" w:fill="ffffff"/>
          <w14:textFill>
            <w14:solidFill>
              <w14:srgbClr w14:val="212121"/>
            </w14:solidFill>
          </w14:textFill>
        </w:rPr>
      </w:pPr>
      <w:r>
        <w:rPr>
          <w:rStyle w:val="None"/>
          <w:rFonts w:ascii="Arial" w:hAnsi="Arial"/>
          <w:outline w:val="0"/>
          <w:color w:val="212121"/>
          <w:sz w:val="22"/>
          <w:szCs w:val="22"/>
          <w:u w:color="212121"/>
          <w:shd w:val="clear" w:color="auto" w:fill="ffffff"/>
          <w:rtl w:val="0"/>
          <w:lang w:val="en-US"/>
          <w14:textFill>
            <w14:solidFill>
              <w14:srgbClr w14:val="212121"/>
            </w14:solidFill>
          </w14:textFill>
        </w:rPr>
        <w:t>Chan, J. S., &amp; Naumer, M. J. (2014). Explaining autism spectrum disorders: central coherence vs. predictive coding theories.</w:t>
      </w:r>
      <w:r>
        <w:rPr>
          <w:rStyle w:val="None"/>
          <w:rFonts w:ascii="Arial" w:hAnsi="Arial" w:hint="default"/>
          <w:outline w:val="0"/>
          <w:color w:val="212121"/>
          <w:sz w:val="22"/>
          <w:szCs w:val="22"/>
          <w:u w:color="212121"/>
          <w:shd w:val="clear" w:color="auto" w:fill="ffffff"/>
          <w:rtl w:val="0"/>
          <w:lang w:val="en-US"/>
          <w14:textFill>
            <w14:solidFill>
              <w14:srgbClr w14:val="212121"/>
            </w14:solidFill>
          </w14:textFill>
        </w:rPr>
        <w:t> </w:t>
      </w:r>
      <w:r>
        <w:rPr>
          <w:rStyle w:val="None"/>
          <w:rFonts w:ascii="Arial" w:hAnsi="Arial"/>
          <w:outline w:val="0"/>
          <w:color w:val="212121"/>
          <w:sz w:val="22"/>
          <w:szCs w:val="22"/>
          <w:u w:color="212121"/>
          <w:shd w:val="clear" w:color="auto" w:fill="ffffff"/>
          <w:rtl w:val="0"/>
          <w:lang w:val="en-US"/>
          <w14:textFill>
            <w14:solidFill>
              <w14:srgbClr w14:val="212121"/>
            </w14:solidFill>
          </w14:textFill>
        </w:rPr>
        <w:t>Journal of neurophysiology,</w:t>
      </w:r>
      <w:r>
        <w:rPr>
          <w:rStyle w:val="None"/>
          <w:rFonts w:ascii="Arial" w:hAnsi="Arial" w:hint="default"/>
          <w:outline w:val="0"/>
          <w:color w:val="212121"/>
          <w:sz w:val="22"/>
          <w:szCs w:val="22"/>
          <w:u w:color="212121"/>
          <w:shd w:val="clear" w:color="auto" w:fill="ffffff"/>
          <w:rtl w:val="0"/>
          <w:lang w:val="en-US"/>
          <w14:textFill>
            <w14:solidFill>
              <w14:srgbClr w14:val="212121"/>
            </w14:solidFill>
          </w14:textFill>
        </w:rPr>
        <w:t> </w:t>
      </w:r>
      <w:r>
        <w:rPr>
          <w:rStyle w:val="None"/>
          <w:rFonts w:ascii="Arial" w:hAnsi="Arial"/>
          <w:outline w:val="0"/>
          <w:color w:val="212121"/>
          <w:sz w:val="22"/>
          <w:szCs w:val="22"/>
          <w:u w:color="212121"/>
          <w:shd w:val="clear" w:color="auto" w:fill="ffffff"/>
          <w:rtl w:val="0"/>
          <w:lang w:val="en-US"/>
          <w14:textFill>
            <w14:solidFill>
              <w14:srgbClr w14:val="212121"/>
            </w14:solidFill>
          </w14:textFill>
        </w:rPr>
        <w:t>112(11), 2669</w:t>
      </w:r>
      <w:r>
        <w:rPr>
          <w:rStyle w:val="None"/>
          <w:rFonts w:ascii="Arial" w:hAnsi="Arial" w:hint="default"/>
          <w:outline w:val="0"/>
          <w:color w:val="212121"/>
          <w:sz w:val="22"/>
          <w:szCs w:val="22"/>
          <w:u w:color="212121"/>
          <w:shd w:val="clear" w:color="auto" w:fill="ffffff"/>
          <w:rtl w:val="0"/>
          <w:lang w:val="en-US"/>
          <w14:textFill>
            <w14:solidFill>
              <w14:srgbClr w14:val="212121"/>
            </w14:solidFill>
          </w14:textFill>
        </w:rPr>
        <w:t>–</w:t>
      </w:r>
      <w:r>
        <w:rPr>
          <w:rStyle w:val="None"/>
          <w:rFonts w:ascii="Arial" w:hAnsi="Arial"/>
          <w:outline w:val="0"/>
          <w:color w:val="212121"/>
          <w:sz w:val="22"/>
          <w:szCs w:val="22"/>
          <w:u w:color="212121"/>
          <w:shd w:val="clear" w:color="auto" w:fill="ffffff"/>
          <w:rtl w:val="0"/>
          <w:lang w:val="en-US"/>
          <w14:textFill>
            <w14:solidFill>
              <w14:srgbClr w14:val="212121"/>
            </w14:solidFill>
          </w14:textFill>
        </w:rPr>
        <w:t xml:space="preserve">2671. </w:t>
      </w:r>
      <w:r>
        <w:rPr>
          <w:rStyle w:val="Hyperlink.2"/>
        </w:rPr>
        <w:fldChar w:fldCharType="begin" w:fldLock="0"/>
      </w:r>
      <w:r>
        <w:rPr>
          <w:rStyle w:val="Hyperlink.2"/>
        </w:rPr>
        <w:instrText xml:space="preserve"> HYPERLINK "https://doi.org/10.1152/jn.00242.2014"</w:instrText>
      </w:r>
      <w:r>
        <w:rPr>
          <w:rStyle w:val="Hyperlink.2"/>
        </w:rPr>
        <w:fldChar w:fldCharType="separate" w:fldLock="0"/>
      </w:r>
      <w:r>
        <w:rPr>
          <w:rStyle w:val="Hyperlink.2"/>
          <w:rtl w:val="0"/>
          <w:lang w:val="en-US"/>
        </w:rPr>
        <w:t>https://doi.org/10.1152/jn.00242.2014</w:t>
      </w:r>
      <w:r>
        <w:rPr/>
        <w:fldChar w:fldCharType="end" w:fldLock="0"/>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after="240" w:line="480" w:lineRule="auto"/>
        <w:ind w:left="19" w:hanging="19"/>
        <w:rPr>
          <w:rStyle w:val="None"/>
          <w:rFonts w:ascii="Arial" w:cs="Arial" w:hAnsi="Arial" w:eastAsia="Arial"/>
          <w:sz w:val="22"/>
          <w:szCs w:val="22"/>
        </w:rPr>
      </w:pPr>
      <w:r>
        <w:rPr>
          <w:rStyle w:val="None"/>
          <w:rFonts w:ascii="Arial" w:hAnsi="Arial"/>
          <w:sz w:val="22"/>
          <w:szCs w:val="22"/>
          <w:rtl w:val="0"/>
          <w:lang w:val="en-US"/>
        </w:rPr>
        <w:t xml:space="preserve">Counsellors working with Neurodivergence. Facebook. (n.d.). Retrieved December 28, 2022, from </w:t>
      </w:r>
      <w:r>
        <w:rPr>
          <w:rStyle w:val="Hyperlink.0"/>
        </w:rPr>
        <w:fldChar w:fldCharType="begin" w:fldLock="0"/>
      </w:r>
      <w:r>
        <w:rPr>
          <w:rStyle w:val="Hyperlink.0"/>
        </w:rPr>
        <w:instrText xml:space="preserve"> HYPERLINK "https://www.facebook.com/groups/2145469732168637"</w:instrText>
      </w:r>
      <w:r>
        <w:rPr>
          <w:rStyle w:val="Hyperlink.0"/>
        </w:rPr>
        <w:fldChar w:fldCharType="separate" w:fldLock="0"/>
      </w:r>
      <w:r>
        <w:rPr>
          <w:rStyle w:val="Hyperlink.0"/>
          <w:rtl w:val="0"/>
          <w:lang w:val="en-US"/>
        </w:rPr>
        <w:t>https://www.facebook.com/groups/2145469732168637</w:t>
      </w:r>
      <w:r>
        <w:rPr/>
        <w:fldChar w:fldCharType="end" w:fldLock="0"/>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Crane, L., &amp; Goddard, L. (2008). Episodic and semantic autobiographical memory in adults with autism spectrum disorders.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Journal of autism and developmental disorders,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38(3), 498-506.</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Crompton, C. J., DeBrabander, K., Heasman, B., Milton, D., &amp; Sasson, N. J. (2021). Double empathy: why autistic people are often misunderstood.</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What Does It Mean to Have an Invisible Condition?, 4.</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480" w:lineRule="auto"/>
        <w:rPr>
          <w:rStyle w:val="None"/>
          <w:rFonts w:ascii="Arial" w:cs="Arial" w:hAnsi="Arial" w:eastAsia="Arial"/>
          <w:sz w:val="22"/>
          <w:szCs w:val="22"/>
        </w:rPr>
      </w:pPr>
      <w:r>
        <w:rPr>
          <w:rStyle w:val="None"/>
          <w:rFonts w:ascii="Arial" w:hAnsi="Arial"/>
          <w:outline w:val="0"/>
          <w:color w:val="222222"/>
          <w:sz w:val="22"/>
          <w:szCs w:val="22"/>
          <w:u w:color="222222"/>
          <w:shd w:val="clear" w:color="auto" w:fill="ffffff"/>
          <w:rtl w:val="0"/>
          <w:lang w:val="nl-NL"/>
          <w14:textFill>
            <w14:solidFill>
              <w14:srgbClr w14:val="222222"/>
            </w14:solidFill>
          </w14:textFill>
        </w:rPr>
        <w:t>Draaisma, D. (2009). Stereotypes of autism.</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Philosophical Transactions of the Royal Society B: Biological Sciences,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364(1522), 1475-1480.</w:t>
      </w:r>
    </w:p>
    <w:p>
      <w:pPr>
        <w:pStyle w:val="Body A"/>
        <w:spacing w:line="480" w:lineRule="auto"/>
        <w:rPr>
          <w:rStyle w:val="None"/>
          <w:rFonts w:ascii="Arial" w:cs="Arial" w:hAnsi="Arial" w:eastAsia="Arial"/>
        </w:rPr>
      </w:pP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Dell'Osso, L., Carpita, B., Muti, D., Morelli, V., Salarpi, G., Salerni, A., ... &amp; Maj, M. (2019). Mood symptoms and suicidality across the autism spectrum.</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Comprehensive Psychiatry,</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it-IT"/>
          <w14:textFill>
            <w14:solidFill>
              <w14:srgbClr w14:val="222222"/>
            </w14:solidFill>
          </w14:textFill>
        </w:rPr>
        <w:t>91, 34-38.</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after="240" w:line="480" w:lineRule="auto"/>
        <w:ind w:left="19" w:hanging="19"/>
        <w:rPr>
          <w:rStyle w:val="None"/>
          <w:rFonts w:ascii="Arial" w:cs="Arial" w:hAnsi="Arial" w:eastAsia="Arial"/>
          <w:sz w:val="22"/>
          <w:szCs w:val="22"/>
        </w:rPr>
      </w:pPr>
      <w:r>
        <w:rPr>
          <w:rStyle w:val="None"/>
          <w:rFonts w:ascii="Arial" w:hAnsi="Arial"/>
          <w:sz w:val="22"/>
          <w:szCs w:val="22"/>
          <w:rtl w:val="0"/>
          <w:lang w:val="en-US"/>
        </w:rPr>
        <w:t>Department of Health. (2015, March). Statutory guidance for Local Authorities and NHS organisations to support implementation of the Adult Strategy. Statutory guidance for local authorities and NHS organisations to ... Retrieved December 28, 2022, from https://assets.publishing.service.gov.uk/government/uploads/system/uploads/attachment_data/file/422338/autism-guidance.pdf</w:t>
      </w:r>
    </w:p>
    <w:p>
      <w:pPr>
        <w:pStyle w:val="Default"/>
        <w:spacing w:before="0" w:line="480" w:lineRule="auto"/>
        <w:rPr>
          <w:rStyle w:val="None"/>
          <w:rFonts w:ascii="Arial" w:cs="Arial" w:hAnsi="Arial" w:eastAsia="Arial"/>
          <w:sz w:val="22"/>
          <w:szCs w:val="22"/>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Dunning, D. (1999), The Dunning</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Kruger Effect: On Being Ignorant of One</w:t>
      </w:r>
      <w:r>
        <w:rPr>
          <w:rStyle w:val="None"/>
          <w:rFonts w:ascii="Arial Unicode MS" w:hAnsi="Arial Unicode MS" w:hint="default"/>
          <w:outline w:val="0"/>
          <w:color w:val="222222"/>
          <w:sz w:val="22"/>
          <w:szCs w:val="22"/>
          <w:u w:color="222222"/>
          <w:shd w:val="clear" w:color="auto" w:fill="ffffff"/>
          <w:rtl w:val="1"/>
          <w:lang w:val="ar-SA" w:bidi="ar-SA"/>
          <w14:textFill>
            <w14:solidFill>
              <w14:srgbClr w14:val="222222"/>
            </w14:solidFill>
          </w14:textFill>
        </w:rPr>
        <w:t>’</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s Own Ignorance.</w:t>
      </w:r>
    </w:p>
    <w:p>
      <w:pPr>
        <w:pStyle w:val="Body A"/>
        <w:spacing w:line="480" w:lineRule="auto"/>
        <w:rPr>
          <w:rStyle w:val="None"/>
          <w:rFonts w:ascii="Arial" w:cs="Arial" w:hAnsi="Arial" w:eastAsia="Arial"/>
        </w:rPr>
      </w:pP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Elsabbagh, M., Yusuf, A., Zeidan, J., Scorah, J., Fombonne, E., Durkin, M. S., ... &amp; Shih, A. (2022). The time has come for living systematic reviews in autism research.</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Autism Research,</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15(7), 1187-1188.</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Fletcher-Watson, S., Adams, J., Brook, K., Charman, T., Crane, L., Cusack, J., ... &amp; Pellicano, E. (2019). Making the future together: Shaping autism research through meaningful participation.</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Autism,</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23(4), 943-953.</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Gepner, B., &amp; F</w:t>
      </w:r>
      <w:r>
        <w:rPr>
          <w:rStyle w:val="None"/>
          <w:rFonts w:ascii="Arial" w:hAnsi="Arial" w:hint="default"/>
          <w:outline w:val="0"/>
          <w:color w:val="222222"/>
          <w:sz w:val="22"/>
          <w:szCs w:val="22"/>
          <w:u w:color="222222"/>
          <w:shd w:val="clear" w:color="auto" w:fill="ffffff"/>
          <w:rtl w:val="0"/>
          <w:lang w:val="fr-FR"/>
          <w14:textFill>
            <w14:solidFill>
              <w14:srgbClr w14:val="222222"/>
            </w14:solidFill>
          </w14:textFill>
        </w:rPr>
        <w:t>é</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ron, F. (2009). Autism: a world changing too fast for a mis-wired brain?.</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Neuroscience &amp; Biobehavioral Reviews,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33(8), 1227-1242.</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Goddard, L., Howlin, P., Dritschel, B., &amp; Patel, T. (2007). Autobiographical memory and social problem-solving in Asperger syndrome.</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Journal of autism and developmental disorders,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37(2), 291-300.</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HASELTON, M. G., NETTLE, D., &amp; ANDREWS, P. W. The Evolution of Cognitive Bias.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The Handbook of Evolutionary Psychology, 724.</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after="240" w:line="480" w:lineRule="auto"/>
        <w:ind w:left="19" w:hanging="19"/>
        <w:rPr>
          <w:rStyle w:val="None"/>
          <w:rFonts w:ascii="Arial" w:cs="Arial" w:hAnsi="Arial" w:eastAsia="Arial"/>
          <w:sz w:val="22"/>
          <w:szCs w:val="22"/>
        </w:rPr>
      </w:pPr>
      <w:r>
        <w:rPr>
          <w:rStyle w:val="None"/>
          <w:rFonts w:ascii="Arial" w:hAnsi="Arial"/>
          <w:sz w:val="22"/>
          <w:szCs w:val="22"/>
          <w:rtl w:val="0"/>
          <w:lang w:val="en-US"/>
        </w:rPr>
        <w:t>Help your learners showcase their skills. Vocational Education and Apprenticeships | City &amp; Guilds. (n.d.). Retrieved December 14, 2022, from https://www.cityandguilds.com/</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Hu, H. F., Liu, T. L., Hsiao, R. C., Ni, H. C., Liang, S. H. Y., Lin, C. F., ... &amp; Yen, C. F. (2019). Cyberbullying victimization and perpetration in adolescents with high-functioning autism spectrum disorder: Correlations with depression, anxiety, and suicidality.</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Journal of autism and developmental disorders,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49(10), 4170-4180.</w:t>
      </w:r>
    </w:p>
    <w:p>
      <w:pPr>
        <w:pStyle w:val="Body A"/>
        <w:spacing w:line="480" w:lineRule="auto"/>
        <w:rPr>
          <w:rStyle w:val="None"/>
          <w:rFonts w:ascii="Arial" w:cs="Arial" w:hAnsi="Arial" w:eastAsia="Arial"/>
        </w:rPr>
      </w:pPr>
    </w:p>
    <w:p>
      <w:pPr>
        <w:pStyle w:val="Default"/>
        <w:spacing w:before="0" w:line="480" w:lineRule="auto"/>
        <w:rPr>
          <w:rStyle w:val="None"/>
          <w:rFonts w:ascii="Arial" w:cs="Arial" w:hAnsi="Arial" w:eastAsia="Arial"/>
          <w:sz w:val="22"/>
          <w:szCs w:val="22"/>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 xml:space="preserve">Human Givens College, </w:t>
      </w:r>
      <w:r>
        <w:rPr>
          <w:rStyle w:val="Hyperlink.0"/>
        </w:rPr>
        <w:fldChar w:fldCharType="begin" w:fldLock="0"/>
      </w:r>
      <w:r>
        <w:rPr>
          <w:rStyle w:val="Hyperlink.0"/>
        </w:rPr>
        <w:instrText xml:space="preserve"> HYPERLINK "https://www.humangivens.com/college/couples-therapy-a-practical-masterclass-live-online-training/%25255B"</w:instrText>
      </w:r>
      <w:r>
        <w:rPr>
          <w:rStyle w:val="Hyperlink.0"/>
        </w:rPr>
        <w:fldChar w:fldCharType="separate" w:fldLock="0"/>
      </w:r>
      <w:r>
        <w:rPr>
          <w:rStyle w:val="Hyperlink.0"/>
          <w:rtl w:val="0"/>
          <w:lang w:val="en-US"/>
        </w:rPr>
        <w:t>https://www.humangivens.com/college/couples-therapy-a-practical-masterclass-live-online-training/[</w:t>
      </w:r>
      <w:r>
        <w:rPr/>
        <w:fldChar w:fldCharType="end" w:fldLock="0"/>
      </w:r>
      <w:r>
        <w:rPr>
          <w:rStyle w:val="None"/>
          <w:rFonts w:ascii="Arial" w:hAnsi="Arial"/>
          <w:sz w:val="22"/>
          <w:szCs w:val="22"/>
          <w:rtl w:val="0"/>
          <w:lang w:val="en-US"/>
        </w:rPr>
        <w:t>14/12/22]online</w:t>
      </w:r>
    </w:p>
    <w:p>
      <w:pPr>
        <w:pStyle w:val="Default"/>
        <w:spacing w:before="0" w:line="480" w:lineRule="auto"/>
        <w:rPr>
          <w:rStyle w:val="None"/>
          <w:rFonts w:ascii="Arial" w:cs="Arial" w:hAnsi="Arial" w:eastAsia="Arial"/>
          <w:sz w:val="22"/>
          <w:szCs w:val="22"/>
        </w:rPr>
      </w:pPr>
    </w:p>
    <w:p>
      <w:pPr>
        <w:pStyle w:val="Default"/>
        <w:spacing w:before="0" w:line="480" w:lineRule="auto"/>
        <w:rPr>
          <w:rStyle w:val="None"/>
          <w:rFonts w:ascii="Arial" w:cs="Arial" w:hAnsi="Arial" w:eastAsia="Arial"/>
          <w:sz w:val="22"/>
          <w:szCs w:val="22"/>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Kalandadze, T., Norbury, C., N</w:t>
      </w:r>
      <w:r>
        <w:rPr>
          <w:rStyle w:val="None"/>
          <w:rFonts w:ascii="Arial" w:hAnsi="Arial" w:hint="default"/>
          <w:outline w:val="0"/>
          <w:color w:val="222222"/>
          <w:sz w:val="22"/>
          <w:szCs w:val="22"/>
          <w:u w:color="222222"/>
          <w:shd w:val="clear" w:color="auto" w:fill="ffffff"/>
          <w:rtl w:val="0"/>
          <w:lang w:val="da-DK"/>
          <w14:textFill>
            <w14:solidFill>
              <w14:srgbClr w14:val="222222"/>
            </w14:solidFill>
          </w14:textFill>
        </w:rPr>
        <w:t>æ</w:t>
      </w:r>
      <w:r>
        <w:rPr>
          <w:rStyle w:val="None"/>
          <w:rFonts w:ascii="Arial" w:hAnsi="Arial"/>
          <w:outline w:val="0"/>
          <w:color w:val="222222"/>
          <w:sz w:val="22"/>
          <w:szCs w:val="22"/>
          <w:u w:color="222222"/>
          <w:shd w:val="clear" w:color="auto" w:fill="ffffff"/>
          <w:rtl w:val="0"/>
          <w:lang w:val="nl-NL"/>
          <w14:textFill>
            <w14:solidFill>
              <w14:srgbClr w14:val="222222"/>
            </w14:solidFill>
          </w14:textFill>
        </w:rPr>
        <w:t>rland, T., &amp; N</w:t>
      </w:r>
      <w:r>
        <w:rPr>
          <w:rStyle w:val="None"/>
          <w:rFonts w:ascii="Arial" w:hAnsi="Arial" w:hint="default"/>
          <w:outline w:val="0"/>
          <w:color w:val="222222"/>
          <w:sz w:val="22"/>
          <w:szCs w:val="22"/>
          <w:u w:color="222222"/>
          <w:shd w:val="clear" w:color="auto" w:fill="ffffff"/>
          <w:rtl w:val="0"/>
          <w:lang w:val="da-DK"/>
          <w14:textFill>
            <w14:solidFill>
              <w14:srgbClr w14:val="222222"/>
            </w14:solidFill>
          </w14:textFill>
        </w:rPr>
        <w:t>æ</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ss, K. A. B. (2018). Figurative language comprehension in individuals with autism spectrum disorder: A meta-analytic review.</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Autism,</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22(2), 99-117.</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Kinnaird, E., Stewart, C., &amp; Tchanturia, K. (2019). Investigating alexithymia in autism: A systematic review and meta-analysis.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European Psychiatry,</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55, 80-89.</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after="240" w:line="480" w:lineRule="auto"/>
        <w:ind w:left="19" w:hanging="19"/>
        <w:rPr>
          <w:rStyle w:val="None"/>
          <w:rFonts w:ascii="Arial" w:cs="Arial" w:hAnsi="Arial" w:eastAsia="Arial"/>
          <w:sz w:val="22"/>
          <w:szCs w:val="22"/>
        </w:rPr>
      </w:pPr>
      <w:r>
        <w:rPr>
          <w:rStyle w:val="None"/>
          <w:rFonts w:ascii="Arial" w:hAnsi="Arial"/>
          <w:sz w:val="22"/>
          <w:szCs w:val="22"/>
          <w:rtl w:val="0"/>
          <w:lang w:val="en-US"/>
        </w:rPr>
        <w:t>Level 2 certificate in understanding autism. Achievement Training. (2022, November 16). Retrieved December 14, 2022, from https://achievementtraining.com/courses/certificate-in-understanding-autism/</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Magiati, I., Tay, X. W., &amp; Howlin, P. (2014). Cognitive, language, social and behavioural outcomes in adults with autism spectrum disorders: A systematic review of longitudinal follow-up studies in adulthood.</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Clinical psychology review,</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34(1), 73-86.</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480" w:lineRule="auto"/>
        <w:rPr>
          <w:rStyle w:val="None"/>
          <w:rFonts w:ascii="Arial" w:cs="Arial" w:hAnsi="Arial" w:eastAsia="Arial"/>
          <w:sz w:val="22"/>
          <w:szCs w:val="22"/>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Mannion, A., &amp; Leader, G. (2013). Comorbidity in autism spectrum disorder: A literature review.</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Research in Autism Spectrum Disorders,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7(12), 1595-1616.</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Matson, J. L., &amp; Goldin, R. L. (2013). Comorbidity and autism: Trends, topics and future directions.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Research in Autism Spectrum Disorders,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7(10), 1228-1233.</w:t>
      </w:r>
    </w:p>
    <w:p>
      <w:pPr>
        <w:pStyle w:val="Default"/>
        <w:spacing w:before="0" w:line="480" w:lineRule="auto"/>
        <w:rPr>
          <w:rStyle w:val="None"/>
          <w:rFonts w:ascii="Arial" w:cs="Arial" w:hAnsi="Arial" w:eastAsia="Arial"/>
          <w:outline w:val="0"/>
          <w:color w:val="3c4245"/>
          <w:sz w:val="22"/>
          <w:szCs w:val="22"/>
          <w:u w:color="3c4245"/>
          <w:shd w:val="clear" w:color="auto" w:fill="ffffff"/>
          <w14:textFill>
            <w14:solidFill>
              <w14:srgbClr w14:val="3C4245"/>
            </w14:solidFill>
          </w14:textFill>
        </w:rPr>
      </w:pP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Milton, D. (2012). So what exactly is autism?.</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Mitchell, P., Sheppard, E., &amp; Cassidy, S. (2021). Autism and the double empathy problem: Implications for development and mental health.</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British Journal of Developmental Psychology,</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39(1), 1-18.</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Morie, K. P., Jackson, S., Zhai, Z. W., Potenza, M. N., &amp; Dritschel, B. (2019). Mood disorders in high-functioning autism: The importance of alexithymia and emotional regulation.</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Journal of Autism and Developmental Disorders,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49(7), 2935-2945.</w:t>
      </w:r>
    </w:p>
    <w:p>
      <w:pPr>
        <w:pStyle w:val="Default"/>
        <w:spacing w:before="0" w:line="480" w:lineRule="auto"/>
        <w:rPr>
          <w:rStyle w:val="None"/>
          <w:rFonts w:ascii="Arial" w:cs="Arial" w:hAnsi="Arial" w:eastAsia="Arial"/>
          <w:sz w:val="22"/>
          <w:szCs w:val="22"/>
        </w:rPr>
      </w:pP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Newson, E. L. M. K., Le Marechal, K., &amp; David, C. (2003). Pathological demand avoidance syndrome: a necessary distinction within the pervasive developmental disorders.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Archives of Disease in Childhood,</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88(7), 595-600.</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after="240" w:line="480" w:lineRule="auto"/>
        <w:ind w:left="19" w:hanging="19"/>
        <w:rPr>
          <w:rStyle w:val="None"/>
          <w:rFonts w:ascii="Arial" w:cs="Arial" w:hAnsi="Arial" w:eastAsia="Arial"/>
          <w:sz w:val="22"/>
          <w:szCs w:val="22"/>
        </w:rPr>
      </w:pPr>
      <w:r>
        <w:rPr>
          <w:rStyle w:val="None"/>
          <w:rFonts w:ascii="Arial" w:hAnsi="Arial"/>
          <w:sz w:val="22"/>
          <w:szCs w:val="22"/>
          <w:rtl w:val="0"/>
          <w:lang w:val="en-US"/>
        </w:rPr>
        <w:t>NHS Choices, NHS, https://www.plymouthhospitals.nhs.uk/training-and-development/training-learning-disability-and-autism-training--4315.</w:t>
      </w:r>
    </w:p>
    <w:p>
      <w:pPr>
        <w:pStyle w:val="Default"/>
        <w:spacing w:before="0" w:after="240" w:line="480" w:lineRule="auto"/>
        <w:ind w:left="19" w:hanging="19"/>
        <w:rPr>
          <w:rStyle w:val="None"/>
          <w:rFonts w:ascii="Arial" w:cs="Arial" w:hAnsi="Arial" w:eastAsia="Arial"/>
          <w:sz w:val="22"/>
          <w:szCs w:val="22"/>
        </w:rPr>
      </w:pPr>
      <w:r>
        <w:rPr>
          <w:rStyle w:val="None"/>
          <w:rFonts w:ascii="Arial" w:hAnsi="Arial"/>
          <w:sz w:val="22"/>
          <w:szCs w:val="22"/>
          <w:rtl w:val="0"/>
          <w:lang w:val="en-US"/>
        </w:rPr>
        <w:t>Oxford University Press. (2022). Therapist. therapist noun - Definition, pictures, pronunciation and usage notes | Oxford Advanced Learner's Dictionary at OxfordLearnersDictionaries.com. Retrieved December 30, 2022, from https://www.oxfordlearnersdictionaries.com/definition/english/therapist</w:t>
      </w:r>
    </w:p>
    <w:p>
      <w:pPr>
        <w:pStyle w:val="Default"/>
        <w:spacing w:before="0" w:line="480" w:lineRule="auto"/>
        <w:rPr>
          <w:rStyle w:val="None"/>
          <w:rFonts w:ascii="Arial" w:cs="Arial" w:hAnsi="Arial" w:eastAsia="Arial"/>
          <w:outline w:val="0"/>
          <w:color w:val="05103e"/>
          <w:sz w:val="22"/>
          <w:szCs w:val="22"/>
          <w:u w:color="05103e"/>
          <w:shd w:val="clear" w:color="auto" w:fill="ffffff"/>
          <w14:textFill>
            <w14:solidFill>
              <w14:srgbClr w14:val="05103E"/>
            </w14:solidFill>
          </w14:textFill>
        </w:rPr>
      </w:pPr>
      <w:r>
        <w:rPr>
          <w:rStyle w:val="None"/>
          <w:rFonts w:ascii="Arial" w:hAnsi="Arial"/>
          <w:outline w:val="0"/>
          <w:color w:val="05103e"/>
          <w:sz w:val="22"/>
          <w:szCs w:val="22"/>
          <w:u w:color="05103e"/>
          <w:shd w:val="clear" w:color="auto" w:fill="ffffff"/>
          <w:rtl w:val="0"/>
          <w:lang w:val="fr-FR"/>
          <w14:textFill>
            <w14:solidFill>
              <w14:srgbClr w14:val="05103E"/>
            </w14:solidFill>
          </w14:textFill>
        </w:rPr>
        <w:t>Participation, E. (n.d.).</w:t>
      </w:r>
      <w:r>
        <w:rPr>
          <w:rStyle w:val="None"/>
          <w:rFonts w:ascii="Arial" w:hAnsi="Arial" w:hint="default"/>
          <w:outline w:val="0"/>
          <w:color w:val="05103e"/>
          <w:sz w:val="22"/>
          <w:szCs w:val="22"/>
          <w:u w:color="05103e"/>
          <w:shd w:val="clear" w:color="auto" w:fill="ffffff"/>
          <w:rtl w:val="0"/>
          <w:lang w:val="en-US"/>
          <w14:textFill>
            <w14:solidFill>
              <w14:srgbClr w14:val="05103E"/>
            </w14:solidFill>
          </w14:textFill>
        </w:rPr>
        <w:t> </w:t>
      </w:r>
      <w:r>
        <w:rPr>
          <w:rStyle w:val="None"/>
          <w:rFonts w:ascii="Arial" w:hAnsi="Arial"/>
          <w:outline w:val="0"/>
          <w:color w:val="05103e"/>
          <w:sz w:val="22"/>
          <w:szCs w:val="22"/>
          <w:u w:color="05103e"/>
          <w:shd w:val="clear" w:color="auto" w:fill="ffffff"/>
          <w:rtl w:val="0"/>
          <w:lang w:val="en-US"/>
          <w14:textFill>
            <w14:solidFill>
              <w14:srgbClr w14:val="05103E"/>
            </w14:solidFill>
          </w14:textFill>
        </w:rPr>
        <w:t>Autism Act 2009.</w:t>
      </w:r>
      <w:r>
        <w:rPr>
          <w:rStyle w:val="None"/>
          <w:rFonts w:ascii="Arial" w:hAnsi="Arial" w:hint="default"/>
          <w:outline w:val="0"/>
          <w:color w:val="05103e"/>
          <w:sz w:val="22"/>
          <w:szCs w:val="22"/>
          <w:u w:color="05103e"/>
          <w:shd w:val="clear" w:color="auto" w:fill="ffffff"/>
          <w:rtl w:val="0"/>
          <w:lang w:val="en-US"/>
          <w14:textFill>
            <w14:solidFill>
              <w14:srgbClr w14:val="05103E"/>
            </w14:solidFill>
          </w14:textFill>
        </w:rPr>
        <w:t> </w:t>
      </w:r>
      <w:r>
        <w:rPr>
          <w:rStyle w:val="Hyperlink.3"/>
          <w:rFonts w:ascii="Arial" w:cs="Arial" w:hAnsi="Arial" w:eastAsia="Arial"/>
          <w:outline w:val="0"/>
          <w:color w:val="05103e"/>
          <w:sz w:val="22"/>
          <w:szCs w:val="22"/>
          <w:u w:val="single" w:color="05103e"/>
          <w:shd w:val="clear" w:color="auto" w:fill="ffffff"/>
          <w:lang w:val="en-US"/>
          <w14:textFill>
            <w14:solidFill>
              <w14:srgbClr w14:val="05103E"/>
            </w14:solidFill>
          </w14:textFill>
        </w:rPr>
        <w:fldChar w:fldCharType="begin" w:fldLock="0"/>
      </w:r>
      <w:r>
        <w:rPr>
          <w:rStyle w:val="Hyperlink.3"/>
          <w:rFonts w:ascii="Arial" w:cs="Arial" w:hAnsi="Arial" w:eastAsia="Arial"/>
          <w:outline w:val="0"/>
          <w:color w:val="05103e"/>
          <w:sz w:val="22"/>
          <w:szCs w:val="22"/>
          <w:u w:val="single" w:color="05103e"/>
          <w:shd w:val="clear" w:color="auto" w:fill="ffffff"/>
          <w:lang w:val="en-US"/>
          <w14:textFill>
            <w14:solidFill>
              <w14:srgbClr w14:val="05103E"/>
            </w14:solidFill>
          </w14:textFill>
        </w:rPr>
        <w:instrText xml:space="preserve"> HYPERLINK "https://www.legislation.gov.uk/ukpga/2009/15/contents"</w:instrText>
      </w:r>
      <w:r>
        <w:rPr>
          <w:rStyle w:val="Hyperlink.3"/>
          <w:rFonts w:ascii="Arial" w:cs="Arial" w:hAnsi="Arial" w:eastAsia="Arial"/>
          <w:outline w:val="0"/>
          <w:color w:val="05103e"/>
          <w:sz w:val="22"/>
          <w:szCs w:val="22"/>
          <w:u w:val="single" w:color="05103e"/>
          <w:shd w:val="clear" w:color="auto" w:fill="ffffff"/>
          <w:lang w:val="en-US"/>
          <w14:textFill>
            <w14:solidFill>
              <w14:srgbClr w14:val="05103E"/>
            </w14:solidFill>
          </w14:textFill>
        </w:rPr>
        <w:fldChar w:fldCharType="separate" w:fldLock="0"/>
      </w:r>
      <w:r>
        <w:rPr>
          <w:rStyle w:val="Hyperlink.3"/>
          <w:rFonts w:ascii="Arial" w:hAnsi="Arial"/>
          <w:outline w:val="0"/>
          <w:color w:val="05103e"/>
          <w:sz w:val="22"/>
          <w:szCs w:val="22"/>
          <w:u w:val="single" w:color="05103e"/>
          <w:shd w:val="clear" w:color="auto" w:fill="ffffff"/>
          <w:rtl w:val="0"/>
          <w:lang w:val="en-US"/>
          <w14:textFill>
            <w14:solidFill>
              <w14:srgbClr w14:val="05103E"/>
            </w14:solidFill>
          </w14:textFill>
        </w:rPr>
        <w:t>https://www.legislation.gov.uk/ukpga/2009/15/contents</w:t>
      </w:r>
      <w:r>
        <w:rPr/>
        <w:fldChar w:fldCharType="end" w:fldLock="0"/>
      </w:r>
      <w:r>
        <w:rPr>
          <w:rStyle w:val="None"/>
          <w:rFonts w:ascii="Arial" w:hAnsi="Arial"/>
          <w:outline w:val="0"/>
          <w:color w:val="05103e"/>
          <w:sz w:val="22"/>
          <w:szCs w:val="22"/>
          <w:u w:color="05103e"/>
          <w:shd w:val="clear" w:color="auto" w:fill="ffffff"/>
          <w:rtl w:val="0"/>
          <w:lang w:val="en-US"/>
          <w14:textFill>
            <w14:solidFill>
              <w14:srgbClr w14:val="05103E"/>
            </w14:solidFill>
          </w14:textFill>
        </w:rPr>
        <w:t xml:space="preserve"> *</w:t>
      </w:r>
    </w:p>
    <w:p>
      <w:pPr>
        <w:pStyle w:val="Default"/>
        <w:spacing w:before="0" w:line="480" w:lineRule="auto"/>
        <w:rPr>
          <w:rStyle w:val="None"/>
          <w:rFonts w:ascii="Arial" w:cs="Arial" w:hAnsi="Arial" w:eastAsia="Arial"/>
          <w:outline w:val="0"/>
          <w:color w:val="05103e"/>
          <w:sz w:val="22"/>
          <w:szCs w:val="22"/>
          <w:u w:color="05103e"/>
          <w:shd w:val="clear" w:color="auto" w:fill="ffffff"/>
          <w14:textFill>
            <w14:solidFill>
              <w14:srgbClr w14:val="05103E"/>
            </w14:solidFill>
          </w14:textFill>
        </w:rPr>
      </w:pPr>
    </w:p>
    <w:p>
      <w:pPr>
        <w:pStyle w:val="Default"/>
        <w:spacing w:before="0" w:line="480" w:lineRule="auto"/>
        <w:rPr>
          <w:rStyle w:val="None"/>
          <w:rFonts w:ascii="Arial" w:cs="Arial" w:hAnsi="Arial" w:eastAsia="Arial"/>
          <w:outline w:val="0"/>
          <w:color w:val="05103e"/>
          <w:sz w:val="22"/>
          <w:szCs w:val="22"/>
          <w:u w:color="05103e"/>
          <w:shd w:val="clear" w:color="auto" w:fill="ffffff"/>
          <w14:textFill>
            <w14:solidFill>
              <w14:srgbClr w14:val="05103E"/>
            </w14:solidFill>
          </w14:textFill>
        </w:rPr>
      </w:pPr>
      <w:r>
        <w:rPr>
          <w:rStyle w:val="None"/>
          <w:rFonts w:ascii="Arial" w:hAnsi="Arial"/>
          <w:outline w:val="0"/>
          <w:color w:val="2c3e50"/>
          <w:sz w:val="22"/>
          <w:szCs w:val="22"/>
          <w:u w:color="2c3e50"/>
          <w:shd w:val="clear" w:color="auto" w:fill="fef1c4"/>
          <w:rtl w:val="0"/>
          <w:lang w:val="en-US"/>
          <w14:textFill>
            <w14:solidFill>
              <w14:srgbClr w14:val="2C3E50"/>
            </w14:solidFill>
          </w14:textFill>
        </w:rPr>
        <w:t xml:space="preserve">PgCert Education: Autism. (n.d.). University of Plymouth. Retrieved December 14, 2022, from </w:t>
      </w:r>
      <w:r>
        <w:rPr>
          <w:rStyle w:val="Hyperlink.4"/>
        </w:rPr>
        <w:fldChar w:fldCharType="begin" w:fldLock="0"/>
      </w:r>
      <w:r>
        <w:rPr>
          <w:rStyle w:val="Hyperlink.4"/>
        </w:rPr>
        <w:instrText xml:space="preserve"> HYPERLINK "https://www.plymouth.ac.uk/courses/postgraduate/pgcert-education-autism"</w:instrText>
      </w:r>
      <w:r>
        <w:rPr>
          <w:rStyle w:val="Hyperlink.4"/>
        </w:rPr>
        <w:fldChar w:fldCharType="separate" w:fldLock="0"/>
      </w:r>
      <w:r>
        <w:rPr>
          <w:rStyle w:val="Hyperlink.4"/>
          <w:rtl w:val="0"/>
          <w:lang w:val="en-US"/>
        </w:rPr>
        <w:t>https://www.plymouth.ac.uk/courses/postgraduate/pgcert-education-autism</w:t>
      </w:r>
      <w:r>
        <w:rPr/>
        <w:fldChar w:fldCharType="end" w:fldLock="0"/>
      </w:r>
    </w:p>
    <w:p>
      <w:pPr>
        <w:pStyle w:val="Default"/>
        <w:spacing w:before="0" w:line="480" w:lineRule="auto"/>
        <w:rPr>
          <w:rStyle w:val="None"/>
          <w:rFonts w:ascii="Arial" w:cs="Arial" w:hAnsi="Arial" w:eastAsia="Arial"/>
          <w:outline w:val="0"/>
          <w:color w:val="05103e"/>
          <w:sz w:val="22"/>
          <w:szCs w:val="22"/>
          <w:u w:color="05103e"/>
          <w:shd w:val="clear" w:color="auto" w:fill="ffffff"/>
          <w14:textFill>
            <w14:solidFill>
              <w14:srgbClr w14:val="05103E"/>
            </w14:solidFill>
          </w14:textFill>
        </w:rPr>
      </w:pPr>
    </w:p>
    <w:p>
      <w:pPr>
        <w:pStyle w:val="Default"/>
        <w:spacing w:before="0" w:after="240" w:line="480" w:lineRule="auto"/>
        <w:ind w:left="19" w:hanging="19"/>
        <w:rPr>
          <w:rStyle w:val="None"/>
          <w:rFonts w:ascii="Arial" w:cs="Arial" w:hAnsi="Arial" w:eastAsia="Arial"/>
          <w:sz w:val="22"/>
          <w:szCs w:val="22"/>
        </w:rPr>
      </w:pPr>
      <w:r>
        <w:rPr>
          <w:rStyle w:val="None"/>
          <w:rFonts w:ascii="Arial" w:hAnsi="Arial"/>
          <w:sz w:val="22"/>
          <w:szCs w:val="22"/>
          <w:rtl w:val="0"/>
          <w:lang w:val="en-US"/>
        </w:rPr>
        <w:t xml:space="preserve">Plymouth Autism Spectrum Service. Livewell Southwest. (n.d.). Retrieved December 14, 2022, from </w:t>
      </w:r>
      <w:r>
        <w:rPr>
          <w:rStyle w:val="Hyperlink.0"/>
        </w:rPr>
        <w:fldChar w:fldCharType="begin" w:fldLock="0"/>
      </w:r>
      <w:r>
        <w:rPr>
          <w:rStyle w:val="Hyperlink.0"/>
        </w:rPr>
        <w:instrText xml:space="preserve"> HYPERLINK "https://www.livewellsouthwest.co.uk/plymouth-autism-spectrum-service"</w:instrText>
      </w:r>
      <w:r>
        <w:rPr>
          <w:rStyle w:val="Hyperlink.0"/>
        </w:rPr>
        <w:fldChar w:fldCharType="separate" w:fldLock="0"/>
      </w:r>
      <w:r>
        <w:rPr>
          <w:rStyle w:val="Hyperlink.0"/>
          <w:rtl w:val="0"/>
          <w:lang w:val="en-US"/>
        </w:rPr>
        <w:t>https://www.livewellsouthwest.co.uk/plymouth-autism-spectrum-service</w:t>
      </w:r>
      <w:r>
        <w:rPr/>
        <w:fldChar w:fldCharType="end" w:fldLock="0"/>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Richa, S., Fahed, M., Khoury, E., &amp; Mishara, B. (2014). Suicide in autism spectrum disorders.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Archives of Suicide Research,</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18(4), 327-339.</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Rivet, T. T., &amp; Matson, J. L. (2011). Review of gender differences in core symptomatology in autism spectrum disorders.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Research in Autism Spectrum Disorders,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5(3), 957-976.</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480" w:lineRule="auto"/>
        <w:rPr>
          <w:rStyle w:val="None"/>
          <w:rFonts w:ascii="Arial" w:cs="Arial" w:hAnsi="Arial" w:eastAsia="Arial"/>
          <w:outline w:val="0"/>
          <w:color w:val="05103e"/>
          <w:sz w:val="22"/>
          <w:szCs w:val="22"/>
          <w:u w:color="05103e"/>
          <w:shd w:val="clear" w:color="auto" w:fill="ffffff"/>
          <w14:textFill>
            <w14:solidFill>
              <w14:srgbClr w14:val="05103E"/>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Robertson, A. E., &amp; Simmons, D. R. (2015). The sensory experiences of adults with autism spectrum disorder: A qualitative analysis.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Perception,</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44(5), 569-586.</w:t>
      </w:r>
    </w:p>
    <w:p>
      <w:pPr>
        <w:pStyle w:val="Default"/>
        <w:spacing w:before="0" w:line="480" w:lineRule="auto"/>
        <w:rPr>
          <w:rStyle w:val="None"/>
          <w:rFonts w:ascii="Arial" w:cs="Arial" w:hAnsi="Arial" w:eastAsia="Arial"/>
          <w:outline w:val="0"/>
          <w:color w:val="05103e"/>
          <w:sz w:val="22"/>
          <w:szCs w:val="22"/>
          <w:u w:color="05103e"/>
          <w:shd w:val="clear" w:color="auto" w:fill="ffffff"/>
          <w14:textFill>
            <w14:solidFill>
              <w14:srgbClr w14:val="05103E"/>
            </w14:solidFill>
          </w14:textFill>
        </w:rPr>
      </w:pPr>
    </w:p>
    <w:p>
      <w:pPr>
        <w:pStyle w:val="Default"/>
        <w:spacing w:before="0" w:line="480" w:lineRule="auto"/>
        <w:rPr>
          <w:rStyle w:val="None"/>
          <w:rFonts w:ascii="Arial" w:cs="Arial" w:hAnsi="Arial" w:eastAsia="Arial"/>
          <w:sz w:val="22"/>
          <w:szCs w:val="22"/>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Saju, P. J. (2021, June). Systemic Family Therapy. In</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Seminars in the Psychotherapies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(p. 111). Cambridge University Press.</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de-DE"/>
          <w14:textFill>
            <w14:solidFill>
              <w14:srgbClr w14:val="222222"/>
            </w14:solidFill>
          </w14:textFill>
        </w:rPr>
        <w:t>Sch</w:t>
      </w:r>
      <w:r>
        <w:rPr>
          <w:rStyle w:val="None"/>
          <w:rFonts w:ascii="Arial" w:hAnsi="Arial" w:hint="default"/>
          <w:outline w:val="0"/>
          <w:color w:val="222222"/>
          <w:sz w:val="22"/>
          <w:szCs w:val="22"/>
          <w:u w:color="222222"/>
          <w:shd w:val="clear" w:color="auto" w:fill="ffffff"/>
          <w:rtl w:val="0"/>
          <w:lang w:val="sv-SE"/>
          <w14:textFill>
            <w14:solidFill>
              <w14:srgbClr w14:val="222222"/>
            </w14:solidFill>
          </w14:textFill>
        </w:rPr>
        <w:t>ö</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ttle, D., Briken, P., T</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ü</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scher, O., &amp; Turner, D. (2022). Sexuality in autism: hypersexual and paraphilic behavior in women and men with high-functioning autism spectrum disorder.</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fr-FR"/>
          <w14:textFill>
            <w14:solidFill>
              <w14:srgbClr w14:val="222222"/>
            </w14:solidFill>
          </w14:textFill>
        </w:rPr>
        <w:t>Dialogues in Clinical Neuroscience.</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480" w:lineRule="auto"/>
        <w:rPr>
          <w:rStyle w:val="None"/>
          <w:rFonts w:ascii="Arial" w:cs="Arial" w:hAnsi="Arial" w:eastAsia="Arial"/>
          <w:sz w:val="22"/>
          <w:szCs w:val="22"/>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Seekles, W., van Straten, A., Beekman, A., van Marwijk, H., &amp; Cuijpers, P. (2009). Stepped care for depression and anxiety: from primary care to specialized mental health care: a randomised controlled trial testing the effectiveness of a stepped care program among primary care patients with mood or anxiety disorders.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BMC Health Services Research,</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9(1), 1-10.</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Shattuck, P. T., Seltzer, M. M., Greenberg, J. S., Orsmond, G. I., Bolt, D., Kring, S., ... &amp; Lord, C. (2007). Change in autism symptoms and maladaptive behaviors in adolescents and adults with an autism spectrum disorder.</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Journal of autism and developmental disorders,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37(9), 1735-1747.</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480" w:lineRule="auto"/>
        <w:rPr>
          <w:rStyle w:val="None"/>
          <w:rFonts w:ascii="Arial" w:cs="Arial" w:hAnsi="Arial" w:eastAsia="Arial"/>
          <w:sz w:val="22"/>
          <w:szCs w:val="22"/>
        </w:rPr>
      </w:pPr>
      <w:r>
        <w:rPr>
          <w:rStyle w:val="None"/>
          <w:rFonts w:ascii="Arial" w:hAnsi="Arial"/>
          <w:outline w:val="0"/>
          <w:color w:val="222222"/>
          <w:sz w:val="22"/>
          <w:szCs w:val="22"/>
          <w:u w:color="222222"/>
          <w:shd w:val="clear" w:color="auto" w:fill="ffffff"/>
          <w:rtl w:val="0"/>
          <w:lang w:val="fr-FR"/>
          <w14:textFill>
            <w14:solidFill>
              <w14:srgbClr w14:val="222222"/>
            </w14:solidFill>
          </w14:textFill>
        </w:rPr>
        <w:t>Simpson</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 xml:space="preserve">Southward, C., Waller, G., &amp; Hardy, G. E. (2017). How do we know what makes for </w:t>
      </w:r>
      <w:r>
        <w:rPr>
          <w:rStyle w:val="None"/>
          <w:rFonts w:ascii="Arial Unicode MS" w:hAnsi="Arial Unicode MS" w:hint="default"/>
          <w:outline w:val="0"/>
          <w:color w:val="222222"/>
          <w:sz w:val="22"/>
          <w:szCs w:val="22"/>
          <w:u w:color="222222"/>
          <w:shd w:val="clear" w:color="auto" w:fill="ffffff"/>
          <w:rtl w:val="1"/>
          <w:lang w:val="ar-SA" w:bidi="ar-SA"/>
          <w14:textFill>
            <w14:solidFill>
              <w14:srgbClr w14:val="222222"/>
            </w14:solidFill>
          </w14:textFill>
        </w:rPr>
        <w:t>“</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best practice</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xml:space="preserve">”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in clinical supervision for psychological therapists? A content analysis of supervisory models and approaches.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Clinical Psychology &amp; Psychotherapy,</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24(6), 1228-1245.</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480" w:lineRule="auto"/>
        <w:ind w:firstLine="4"/>
        <w:rPr>
          <w:rStyle w:val="None"/>
          <w:rFonts w:ascii="Arial" w:cs="Arial" w:hAnsi="Arial" w:eastAsia="Arial"/>
          <w:sz w:val="22"/>
          <w:szCs w:val="22"/>
        </w:rPr>
      </w:pPr>
      <w:r>
        <w:rPr>
          <w:rStyle w:val="None"/>
          <w:rFonts w:ascii="Arial" w:hAnsi="Arial"/>
          <w:sz w:val="22"/>
          <w:szCs w:val="22"/>
          <w:rtl w:val="0"/>
          <w:lang w:val="en-US"/>
        </w:rPr>
        <w:t xml:space="preserve">Society, C. (2022, April 20). Code of Ethics. NCS. </w:t>
      </w:r>
      <w:r>
        <w:rPr>
          <w:rStyle w:val="Hyperlink.0"/>
        </w:rPr>
        <w:fldChar w:fldCharType="begin" w:fldLock="0"/>
      </w:r>
      <w:r>
        <w:rPr>
          <w:rStyle w:val="Hyperlink.0"/>
        </w:rPr>
        <w:instrText xml:space="preserve"> HYPERLINK "https://nationalcounsellingsociety.org/about-us/code-of-ethics"</w:instrText>
      </w:r>
      <w:r>
        <w:rPr>
          <w:rStyle w:val="Hyperlink.0"/>
        </w:rPr>
        <w:fldChar w:fldCharType="separate" w:fldLock="0"/>
      </w:r>
      <w:r>
        <w:rPr>
          <w:rStyle w:val="Hyperlink.0"/>
          <w:rtl w:val="0"/>
          <w:lang w:val="en-US"/>
        </w:rPr>
        <w:t>https://nationalcounsellingsociety.org/about-us/code-of-ethics</w:t>
      </w:r>
      <w:r>
        <w:rPr/>
        <w:fldChar w:fldCharType="end" w:fldLock="0"/>
      </w:r>
    </w:p>
    <w:p>
      <w:pPr>
        <w:pStyle w:val="Default"/>
        <w:spacing w:before="0" w:line="480" w:lineRule="auto"/>
        <w:ind w:firstLine="4"/>
        <w:rPr>
          <w:rStyle w:val="None"/>
          <w:rFonts w:ascii="Arial" w:cs="Arial" w:hAnsi="Arial" w:eastAsia="Arial"/>
          <w:sz w:val="22"/>
          <w:szCs w:val="22"/>
        </w:rPr>
      </w:pPr>
      <w:r>
        <w:rPr>
          <w:rStyle w:val="None"/>
          <w:rFonts w:ascii="Arial" w:hAnsi="Arial"/>
          <w:sz w:val="22"/>
          <w:szCs w:val="22"/>
          <w:rtl w:val="0"/>
          <w:lang w:val="en-US"/>
        </w:rPr>
        <w:t xml:space="preserve">Social Communication/Autism Training. Social communication/autism training | PLYMOUTH.GOV.UK. (n.d.). Retrieved December 14, 2022, from </w:t>
      </w:r>
      <w:r>
        <w:rPr>
          <w:rStyle w:val="Hyperlink.0"/>
        </w:rPr>
        <w:fldChar w:fldCharType="begin" w:fldLock="0"/>
      </w:r>
      <w:r>
        <w:rPr>
          <w:rStyle w:val="Hyperlink.0"/>
        </w:rPr>
        <w:instrText xml:space="preserve"> HYPERLINK "https://www.plymouth.gov.uk/social-communicationautism-training"</w:instrText>
      </w:r>
      <w:r>
        <w:rPr>
          <w:rStyle w:val="Hyperlink.0"/>
        </w:rPr>
        <w:fldChar w:fldCharType="separate" w:fldLock="0"/>
      </w:r>
      <w:r>
        <w:rPr>
          <w:rStyle w:val="Hyperlink.0"/>
          <w:rtl w:val="0"/>
          <w:lang w:val="en-US"/>
        </w:rPr>
        <w:t>https://www.plymouth.gov.uk/social-communicationautism-training</w:t>
      </w:r>
      <w:r>
        <w:rPr/>
        <w:fldChar w:fldCharType="end" w:fldLock="0"/>
      </w:r>
    </w:p>
    <w:p>
      <w:pPr>
        <w:pStyle w:val="Default"/>
        <w:spacing w:before="0" w:line="480" w:lineRule="auto"/>
        <w:ind w:firstLine="4"/>
        <w:rPr>
          <w:rStyle w:val="None"/>
          <w:rFonts w:ascii="Arial" w:cs="Arial" w:hAnsi="Arial" w:eastAsia="Arial"/>
          <w:sz w:val="22"/>
          <w:szCs w:val="22"/>
        </w:rPr>
      </w:pP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Tay, D. (2020). Surveying views of metaphor vs. literal language in psychotherapy: A factor analysis.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Metaphor and the Social World,</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10(2), 273-291.</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after="240" w:line="480" w:lineRule="auto"/>
        <w:ind w:left="19" w:hanging="19"/>
        <w:rPr>
          <w:rStyle w:val="None"/>
          <w:rFonts w:ascii="Arial" w:cs="Arial" w:hAnsi="Arial" w:eastAsia="Arial"/>
          <w:sz w:val="22"/>
          <w:szCs w:val="22"/>
        </w:rPr>
      </w:pPr>
      <w:r>
        <w:rPr>
          <w:rStyle w:val="None"/>
          <w:rFonts w:ascii="Arial" w:hAnsi="Arial"/>
          <w:sz w:val="22"/>
          <w:szCs w:val="22"/>
          <w:rtl w:val="0"/>
          <w:lang w:val="en-US"/>
        </w:rPr>
        <w:t xml:space="preserve">The 3 levels of autism </w:t>
      </w:r>
      <w:r>
        <w:rPr>
          <w:rStyle w:val="None"/>
          <w:rFonts w:ascii="Arial" w:hAnsi="Arial" w:hint="default"/>
          <w:sz w:val="22"/>
          <w:szCs w:val="22"/>
          <w:rtl w:val="0"/>
          <w:lang w:val="en-US"/>
        </w:rPr>
        <w:t xml:space="preserve">– </w:t>
      </w:r>
      <w:r>
        <w:rPr>
          <w:rStyle w:val="None"/>
          <w:rFonts w:ascii="Arial" w:hAnsi="Arial"/>
          <w:sz w:val="22"/>
          <w:szCs w:val="22"/>
          <w:rtl w:val="0"/>
          <w:lang w:val="en-US"/>
        </w:rPr>
        <w:t>diagnosing autism. The Place for Children with Autism. (2021, September 15). Retrieved December 14, 2022, from https://theplaceforchildrenwithautism.com/diagnosing-autism/the-three-levels-of-autism</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Thompson-Hodgetts, S., Labonte, C., Mazumder, R., &amp; Phelan, S. (2020). Helpful or harmful? A scoping review of perceptions and outcomes of autism diagnostic disclosure to others.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Research in Autism Spectrum Disorders,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77, 101598.</w:t>
      </w:r>
    </w:p>
    <w:p>
      <w:pPr>
        <w:pStyle w:val="Default"/>
        <w:spacing w:before="0" w:line="480" w:lineRule="auto"/>
        <w:rPr>
          <w:rStyle w:val="None"/>
          <w:rFonts w:ascii="Arial" w:cs="Arial" w:hAnsi="Arial" w:eastAsia="Arial"/>
          <w:sz w:val="22"/>
          <w:szCs w:val="22"/>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Frith, U., &amp; Happ</w:t>
      </w:r>
      <w:r>
        <w:rPr>
          <w:rStyle w:val="None"/>
          <w:rFonts w:ascii="Arial" w:hAnsi="Arial" w:hint="default"/>
          <w:outline w:val="0"/>
          <w:color w:val="222222"/>
          <w:sz w:val="22"/>
          <w:szCs w:val="22"/>
          <w:u w:color="222222"/>
          <w:shd w:val="clear" w:color="auto" w:fill="ffffff"/>
          <w:rtl w:val="0"/>
          <w:lang w:val="fr-FR"/>
          <w14:textFill>
            <w14:solidFill>
              <w14:srgbClr w14:val="222222"/>
            </w14:solidFill>
          </w14:textFill>
        </w:rPr>
        <w:t>é</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 xml:space="preserve">, F. (1994). Autism: Beyond </w:t>
      </w:r>
      <w:r>
        <w:rPr>
          <w:rStyle w:val="None"/>
          <w:rFonts w:ascii="Arial Unicode MS" w:hAnsi="Arial Unicode MS" w:hint="default"/>
          <w:outline w:val="0"/>
          <w:color w:val="222222"/>
          <w:sz w:val="22"/>
          <w:szCs w:val="22"/>
          <w:u w:color="222222"/>
          <w:shd w:val="clear" w:color="auto" w:fill="ffffff"/>
          <w:rtl w:val="1"/>
          <w:lang w:val="ar-SA" w:bidi="ar-SA"/>
          <w14:textFill>
            <w14:solidFill>
              <w14:srgbClr w14:val="222222"/>
            </w14:solidFill>
          </w14:textFill>
        </w:rPr>
        <w:t>“</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theory of mind</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Cognition,</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50(1-3), 115-132</w:t>
      </w:r>
    </w:p>
    <w:p>
      <w:pPr>
        <w:pStyle w:val="Default"/>
        <w:spacing w:before="0" w:line="480" w:lineRule="auto"/>
        <w:rPr>
          <w:rStyle w:val="None"/>
          <w:rFonts w:ascii="Arial" w:cs="Arial" w:hAnsi="Arial" w:eastAsia="Arial"/>
          <w:sz w:val="22"/>
          <w:szCs w:val="22"/>
        </w:rPr>
      </w:pPr>
    </w:p>
    <w:p>
      <w:pPr>
        <w:pStyle w:val="Default"/>
        <w:spacing w:before="0" w:line="480" w:lineRule="auto"/>
        <w:rPr>
          <w:rStyle w:val="None"/>
          <w:rFonts w:ascii="Arial" w:cs="Arial" w:hAnsi="Arial" w:eastAsia="Arial"/>
          <w:sz w:val="22"/>
          <w:szCs w:val="22"/>
        </w:rPr>
      </w:pPr>
      <w:r>
        <w:rPr>
          <w:rStyle w:val="None"/>
          <w:rFonts w:ascii="Arial" w:hAnsi="Arial"/>
          <w:sz w:val="22"/>
          <w:szCs w:val="22"/>
          <w:rtl w:val="0"/>
          <w:lang w:val="en-US"/>
        </w:rPr>
        <w:t xml:space="preserve">Training and conferences. (n.d.). Www.autism.org.uk. </w:t>
      </w:r>
      <w:r>
        <w:rPr>
          <w:rStyle w:val="Hyperlink.0"/>
        </w:rPr>
        <w:fldChar w:fldCharType="begin" w:fldLock="0"/>
      </w:r>
      <w:r>
        <w:rPr>
          <w:rStyle w:val="Hyperlink.0"/>
        </w:rPr>
        <w:instrText xml:space="preserve"> HYPERLINK "https://www.autism.org.uk/what-we-do/professional-development/training-and-conferences"</w:instrText>
      </w:r>
      <w:r>
        <w:rPr>
          <w:rStyle w:val="Hyperlink.0"/>
        </w:rPr>
        <w:fldChar w:fldCharType="separate" w:fldLock="0"/>
      </w:r>
      <w:r>
        <w:rPr>
          <w:rStyle w:val="Hyperlink.0"/>
          <w:rtl w:val="0"/>
          <w:lang w:val="en-US"/>
        </w:rPr>
        <w:t>https://www.autism.org.uk/what-we-do/professional-development/training-and-conferences</w:t>
      </w:r>
      <w:r>
        <w:rPr/>
        <w:fldChar w:fldCharType="end" w:fldLock="0"/>
      </w:r>
    </w:p>
    <w:p>
      <w:pPr>
        <w:pStyle w:val="Default"/>
        <w:spacing w:before="0" w:line="480" w:lineRule="auto"/>
        <w:rPr>
          <w:rStyle w:val="None"/>
          <w:rFonts w:ascii="Arial" w:cs="Arial" w:hAnsi="Arial" w:eastAsia="Arial"/>
          <w:sz w:val="22"/>
          <w:szCs w:val="22"/>
        </w:rPr>
      </w:pPr>
    </w:p>
    <w:p>
      <w:pPr>
        <w:pStyle w:val="Default"/>
        <w:spacing w:before="0" w:after="240" w:line="480" w:lineRule="auto"/>
        <w:ind w:left="57" w:hanging="19"/>
        <w:rPr>
          <w:rStyle w:val="None"/>
          <w:rFonts w:ascii="Arial" w:cs="Arial" w:hAnsi="Arial" w:eastAsia="Arial"/>
          <w:sz w:val="22"/>
          <w:szCs w:val="22"/>
        </w:rPr>
      </w:pPr>
      <w:r>
        <w:rPr>
          <w:rStyle w:val="None"/>
          <w:rFonts w:ascii="Arial Unicode MS" w:hAnsi="Arial Unicode MS" w:hint="default"/>
          <w:sz w:val="22"/>
          <w:szCs w:val="22"/>
          <w:rtl w:val="1"/>
          <w:lang w:val="ar-SA" w:bidi="ar-SA"/>
        </w:rPr>
        <w:t>“</w:t>
      </w:r>
      <w:r>
        <w:rPr>
          <w:rStyle w:val="None"/>
          <w:rFonts w:ascii="Arial" w:hAnsi="Arial"/>
          <w:sz w:val="22"/>
          <w:szCs w:val="22"/>
          <w:rtl w:val="0"/>
          <w:lang w:val="en-US"/>
        </w:rPr>
        <w:t>Understanding Autism.</w:t>
      </w:r>
      <w:r>
        <w:rPr>
          <w:rStyle w:val="None"/>
          <w:rFonts w:ascii="Arial" w:hAnsi="Arial" w:hint="default"/>
          <w:sz w:val="22"/>
          <w:szCs w:val="22"/>
          <w:rtl w:val="0"/>
          <w:lang w:val="en-US"/>
        </w:rPr>
        <w:t xml:space="preserve">” </w:t>
      </w:r>
      <w:r>
        <w:rPr>
          <w:rStyle w:val="None"/>
          <w:rFonts w:ascii="Arial" w:hAnsi="Arial"/>
          <w:sz w:val="22"/>
          <w:szCs w:val="22"/>
          <w:rtl w:val="0"/>
          <w:lang w:val="en-US"/>
        </w:rPr>
        <w:t>City College Plymouth, 1 Sept. 2022, https://www.cityplym.ac.uk/courses/understanding-autism/.</w:t>
      </w: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Watkins Jr, C. E., &amp; Milne, D. L. (Eds.). (2014).</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The Wiley international handbook of clinical supervision</w:t>
      </w:r>
      <w:r>
        <w:rPr>
          <w:rStyle w:val="None"/>
          <w:rFonts w:ascii="Arial" w:hAnsi="Arial"/>
          <w:outline w:val="0"/>
          <w:color w:val="222222"/>
          <w:sz w:val="22"/>
          <w:szCs w:val="22"/>
          <w:u w:color="222222"/>
          <w:shd w:val="clear" w:color="auto" w:fill="ffffff"/>
          <w:rtl w:val="0"/>
          <w:lang w:val="it-IT"/>
          <w14:textFill>
            <w14:solidFill>
              <w14:srgbClr w14:val="222222"/>
            </w14:solidFill>
          </w14:textFill>
        </w:rPr>
        <w:t>. John Wiley &amp; Sons.</w:t>
      </w:r>
    </w:p>
    <w:p>
      <w:pPr>
        <w:pStyle w:val="Body A"/>
        <w:spacing w:line="480" w:lineRule="auto"/>
        <w:rPr>
          <w:rStyle w:val="None"/>
          <w:rFonts w:ascii="Arial" w:cs="Arial" w:hAnsi="Arial" w:eastAsia="Arial"/>
        </w:rPr>
      </w:pPr>
    </w:p>
    <w:p>
      <w:pPr>
        <w:pStyle w:val="Default"/>
        <w:spacing w:before="0" w:line="48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Wood-Downie, H., Wong, B., Kovshoff, H., Mandy, W., Hull, L., &amp; Hadwin, J. A. (2021). Sex/gender differences in camouflaging in children and adolescents with autism.</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Journal of Autism and Developmental Disorders,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51(4), 1353-1364.</w:t>
      </w:r>
    </w:p>
    <w:p>
      <w:pPr>
        <w:pStyle w:val="Default"/>
        <w:spacing w:before="0" w:line="480" w:lineRule="auto"/>
        <w:rPr>
          <w:rStyle w:val="None"/>
          <w:rFonts w:ascii="Arial" w:cs="Arial" w:hAnsi="Arial" w:eastAsia="Arial"/>
          <w:outline w:val="0"/>
          <w:color w:val="3c4245"/>
          <w:sz w:val="22"/>
          <w:szCs w:val="22"/>
          <w:u w:color="3c4245"/>
          <w:shd w:val="clear" w:color="auto" w:fill="ffffff"/>
          <w14:textFill>
            <w14:solidFill>
              <w14:srgbClr w14:val="3C4245"/>
            </w14:solidFill>
          </w14:textFill>
        </w:rPr>
      </w:pPr>
    </w:p>
    <w:p>
      <w:pPr>
        <w:pStyle w:val="Default"/>
        <w:spacing w:before="0" w:line="480" w:lineRule="auto"/>
      </w:pPr>
      <w:r>
        <w:rPr>
          <w:rStyle w:val="None"/>
          <w:rFonts w:ascii="Arial" w:hAnsi="Arial"/>
          <w:outline w:val="0"/>
          <w:color w:val="3c4245"/>
          <w:sz w:val="22"/>
          <w:szCs w:val="22"/>
          <w:u w:color="3c4245"/>
          <w:shd w:val="clear" w:color="auto" w:fill="ffffff"/>
          <w:rtl w:val="0"/>
          <w:lang w:val="en-US"/>
          <w14:textFill>
            <w14:solidFill>
              <w14:srgbClr w14:val="3C4245"/>
            </w14:solidFill>
          </w14:textFill>
        </w:rPr>
        <w:t>World Health Organisation, Autism, 30 March 2022, [online]</w:t>
      </w:r>
      <w:r>
        <w:rPr>
          <w:rStyle w:val="Hyperlink.5"/>
        </w:rPr>
        <w:fldChar w:fldCharType="begin" w:fldLock="0"/>
      </w:r>
      <w:r>
        <w:rPr>
          <w:rStyle w:val="Hyperlink.5"/>
        </w:rPr>
        <w:instrText xml:space="preserve"> HYPERLINK "https://www.who.int/news-room/fact-sheets/detail/autism-spectrum-disorders"</w:instrText>
      </w:r>
      <w:r>
        <w:rPr>
          <w:rStyle w:val="Hyperlink.5"/>
        </w:rPr>
        <w:fldChar w:fldCharType="separate" w:fldLock="0"/>
      </w:r>
      <w:r>
        <w:rPr>
          <w:rStyle w:val="Hyperlink.5"/>
          <w:rtl w:val="0"/>
          <w:lang w:val="en-US"/>
        </w:rPr>
        <w:t>https://www.who.int/news-room/fact-sheets/detail/autism-spectrum-disorders</w:t>
      </w:r>
      <w:r>
        <w:rPr/>
        <w:fldChar w:fldCharType="end" w:fldLock="0"/>
      </w:r>
      <w:r>
        <w:rPr>
          <w:rStyle w:val="None"/>
          <w:rFonts w:ascii="Arial" w:hAnsi="Arial"/>
          <w:outline w:val="0"/>
          <w:color w:val="3c4245"/>
          <w:sz w:val="22"/>
          <w:szCs w:val="22"/>
          <w:u w:color="3c4245"/>
          <w:shd w:val="clear" w:color="auto" w:fill="ffffff"/>
          <w:rtl w:val="0"/>
          <w:lang w:val="en-US"/>
          <w14:textFill>
            <w14:solidFill>
              <w14:srgbClr w14:val="3C4245"/>
            </w14:solidFill>
          </w14:textFill>
        </w:rPr>
        <w:t>[9/9/2022]</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Body B">
    <w:name w:val="Body B"/>
    <w:next w:val="Body B"/>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fr-FR"/>
      <w14:textOutline w14:w="12700" w14:cap="flat">
        <w14:noFill/>
        <w14:miter w14:lim="400000"/>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Arial" w:cs="Arial" w:hAnsi="Arial" w:eastAsia="Arial"/>
      <w:outline w:val="0"/>
      <w:color w:val="0000ff"/>
      <w:sz w:val="22"/>
      <w:szCs w:val="22"/>
      <w:u w:val="single" w:color="0000ff"/>
      <w14:textFill>
        <w14:solidFill>
          <w14:srgbClr w14:val="0000FF"/>
        </w14:solidFill>
      </w14:textFill>
    </w:rPr>
  </w:style>
  <w:style w:type="character" w:styleId="Hyperlink.1">
    <w:name w:val="Hyperlink.1"/>
    <w:basedOn w:val="None"/>
    <w:next w:val="Hyperlink.1"/>
    <w:rPr>
      <w:rFonts w:ascii="Arial" w:cs="Arial" w:hAnsi="Arial" w:eastAsia="Arial"/>
      <w:outline w:val="0"/>
      <w:color w:val="0000ff"/>
      <w:sz w:val="22"/>
      <w:szCs w:val="22"/>
      <w:u w:val="single" w:color="0000ff"/>
      <w:shd w:val="clear" w:color="auto" w:fill="ffffff"/>
      <w:lang w:val="en-US"/>
      <w14:textFill>
        <w14:solidFill>
          <w14:srgbClr w14:val="0000FF"/>
        </w14:solidFill>
      </w14:textFill>
    </w:rPr>
  </w:style>
  <w:style w:type="character" w:styleId="Hyperlink.2">
    <w:name w:val="Hyperlink.2"/>
    <w:basedOn w:val="None"/>
    <w:next w:val="Hyperlink.2"/>
    <w:rPr>
      <w:rFonts w:ascii="Arial" w:cs="Arial" w:hAnsi="Arial" w:eastAsia="Arial"/>
      <w:outline w:val="0"/>
      <w:color w:val="0000ff"/>
      <w:sz w:val="22"/>
      <w:szCs w:val="22"/>
      <w:u w:val="single" w:color="0000ff"/>
      <w:shd w:val="clear" w:color="auto" w:fill="ffffff"/>
      <w14:textFill>
        <w14:solidFill>
          <w14:srgbClr w14:val="0000FF"/>
        </w14:solidFill>
      </w14:textFill>
    </w:rPr>
  </w:style>
  <w:style w:type="character" w:styleId="Hyperlink.3">
    <w:name w:val="Hyperlink.3"/>
    <w:basedOn w:val="None"/>
    <w:next w:val="Hyperlink.3"/>
    <w:rPr>
      <w:rFonts w:ascii="Arial" w:cs="Arial" w:hAnsi="Arial" w:eastAsia="Arial"/>
      <w:outline w:val="0"/>
      <w:color w:val="05103e"/>
      <w:sz w:val="22"/>
      <w:szCs w:val="22"/>
      <w:u w:val="single" w:color="05103e"/>
      <w:shd w:val="clear" w:color="auto" w:fill="ffffff"/>
      <w:lang w:val="en-US"/>
      <w14:textFill>
        <w14:solidFill>
          <w14:srgbClr w14:val="05103E"/>
        </w14:solidFill>
      </w14:textFill>
    </w:rPr>
  </w:style>
  <w:style w:type="character" w:styleId="Hyperlink.4">
    <w:name w:val="Hyperlink.4"/>
    <w:basedOn w:val="None"/>
    <w:next w:val="Hyperlink.4"/>
    <w:rPr>
      <w:rFonts w:ascii="Arial" w:cs="Arial" w:hAnsi="Arial" w:eastAsia="Arial"/>
      <w:outline w:val="0"/>
      <w:color w:val="0000ff"/>
      <w:sz w:val="22"/>
      <w:szCs w:val="22"/>
      <w:u w:val="single" w:color="0000ff"/>
      <w:shd w:val="clear" w:color="auto" w:fill="fef1c4"/>
      <w14:textFill>
        <w14:solidFill>
          <w14:srgbClr w14:val="0000FF"/>
        </w14:solidFill>
      </w14:textFill>
    </w:rPr>
  </w:style>
  <w:style w:type="character" w:styleId="Hyperlink.5">
    <w:name w:val="Hyperlink.5"/>
    <w:basedOn w:val="None"/>
    <w:next w:val="Hyperlink.5"/>
    <w:rPr>
      <w:rFonts w:ascii="Arial" w:cs="Arial" w:hAnsi="Arial" w:eastAsia="Arial"/>
      <w:outline w:val="0"/>
      <w:color w:val="3c4245"/>
      <w:sz w:val="22"/>
      <w:szCs w:val="22"/>
      <w:u w:val="single" w:color="3c4245"/>
      <w:shd w:val="clear" w:color="auto" w:fill="ffffff"/>
      <w14:textFill>
        <w14:solidFill>
          <w14:srgbClr w14:val="3C4245"/>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