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spacing w:before="0" w:line="480" w:lineRule="auto"/>
        <w:jc w:val="both"/>
      </w:pPr>
    </w:p>
    <w:p>
      <w:pPr>
        <w:pStyle w:val="Default"/>
        <w:spacing w:before="0" w:line="480" w:lineRule="auto"/>
        <w:jc w:val="both"/>
      </w:pPr>
    </w:p>
    <w:p>
      <w:pPr>
        <w:pStyle w:val="Default"/>
        <w:spacing w:before="0" w:line="480" w:lineRule="auto"/>
        <w:jc w:val="both"/>
      </w:pPr>
    </w:p>
    <w:p>
      <w:pPr>
        <w:pStyle w:val="Default"/>
        <w:spacing w:before="0" w:line="480" w:lineRule="auto"/>
        <w:jc w:val="both"/>
      </w:pPr>
    </w:p>
    <w:p>
      <w:pPr>
        <w:pStyle w:val="Default"/>
        <w:spacing w:before="0" w:line="480" w:lineRule="auto"/>
        <w:jc w:val="both"/>
      </w:pPr>
    </w:p>
    <w:p>
      <w:pPr>
        <w:pStyle w:val="Default"/>
        <w:spacing w:before="0" w:line="240" w:lineRule="auto"/>
        <w:rPr>
          <w:rFonts w:ascii="Arial" w:cs="Arial" w:hAnsi="Arial" w:eastAsia="Arial"/>
          <w:sz w:val="22"/>
          <w:szCs w:val="22"/>
          <w:u w:color="000000"/>
        </w:rPr>
      </w:pPr>
      <w:r>
        <w:rPr>
          <w:rFonts w:ascii="Arial" w:hAnsi="Arial"/>
          <w:sz w:val="22"/>
          <w:szCs w:val="22"/>
          <w:u w:color="000000"/>
          <w:rtl w:val="0"/>
          <w:lang w:val="en-US"/>
        </w:rPr>
        <w:t>Pg Cert Attention Deficit Hyperactivity Disorder.</w:t>
      </w:r>
    </w:p>
    <w:p>
      <w:pPr>
        <w:pStyle w:val="Default"/>
        <w:spacing w:before="0" w:line="240" w:lineRule="auto"/>
        <w:rPr>
          <w:rFonts w:ascii="Arial" w:cs="Arial" w:hAnsi="Arial" w:eastAsia="Arial"/>
          <w:sz w:val="22"/>
          <w:szCs w:val="22"/>
          <w:u w:color="000000"/>
        </w:rPr>
      </w:pPr>
    </w:p>
    <w:p>
      <w:pPr>
        <w:pStyle w:val="Default"/>
        <w:spacing w:before="0" w:line="360" w:lineRule="auto"/>
        <w:jc w:val="both"/>
        <w:rPr>
          <w:rFonts w:ascii="Arial" w:cs="Arial" w:hAnsi="Arial" w:eastAsia="Arial"/>
          <w:sz w:val="22"/>
          <w:szCs w:val="22"/>
          <w:u w:color="000000"/>
          <w:shd w:val="clear" w:color="auto" w:fill="ffffff"/>
        </w:rPr>
      </w:pPr>
    </w:p>
    <w:p>
      <w:pPr>
        <w:pStyle w:val="Default"/>
        <w:spacing w:before="0" w:line="360" w:lineRule="auto"/>
        <w:rPr>
          <w:rFonts w:ascii="Arial" w:cs="Arial" w:hAnsi="Arial" w:eastAsia="Arial"/>
          <w:sz w:val="22"/>
          <w:szCs w:val="22"/>
          <w:u w:color="000000"/>
        </w:rPr>
      </w:pPr>
      <w:r>
        <w:rPr>
          <w:rFonts w:ascii="Arial" w:hAnsi="Arial"/>
          <w:sz w:val="22"/>
          <w:szCs w:val="22"/>
          <w:u w:color="000000"/>
          <w:shd w:val="clear" w:color="auto" w:fill="ffffff"/>
          <w:rtl w:val="0"/>
          <w:lang w:val="en-US"/>
        </w:rPr>
        <w:t>Theoretical Essay</w:t>
      </w:r>
    </w:p>
    <w:p>
      <w:pPr>
        <w:pStyle w:val="Default"/>
        <w:spacing w:before="0" w:line="360" w:lineRule="auto"/>
        <w:rPr>
          <w:rFonts w:ascii="Arial" w:cs="Arial" w:hAnsi="Arial" w:eastAsia="Arial"/>
          <w:sz w:val="22"/>
          <w:szCs w:val="22"/>
          <w:u w:color="000000"/>
        </w:rPr>
      </w:pPr>
    </w:p>
    <w:p>
      <w:pPr>
        <w:pStyle w:val="Default"/>
        <w:spacing w:before="0" w:line="360" w:lineRule="auto"/>
        <w:rPr>
          <w:rFonts w:ascii="Arial" w:cs="Arial" w:hAnsi="Arial" w:eastAsia="Arial"/>
          <w:sz w:val="22"/>
          <w:szCs w:val="22"/>
          <w:u w:color="000000"/>
        </w:rPr>
      </w:pPr>
      <w:r>
        <w:rPr>
          <w:rFonts w:ascii="Arial" w:hAnsi="Arial"/>
          <w:sz w:val="22"/>
          <w:szCs w:val="22"/>
          <w:u w:color="000000"/>
          <w:rtl w:val="0"/>
        </w:rPr>
        <w:t>1</w:t>
      </w:r>
      <w:r>
        <w:rPr>
          <w:rFonts w:ascii="Arial" w:hAnsi="Arial"/>
          <w:sz w:val="22"/>
          <w:szCs w:val="22"/>
          <w:u w:color="000000"/>
          <w:rtl w:val="0"/>
          <w:lang w:val="en-US"/>
        </w:rPr>
        <w:t>618</w:t>
      </w:r>
      <w:r>
        <w:rPr>
          <w:rFonts w:ascii="Arial" w:hAnsi="Arial"/>
          <w:sz w:val="22"/>
          <w:szCs w:val="22"/>
          <w:u w:color="000000"/>
          <w:rtl w:val="0"/>
          <w:lang w:val="en-US"/>
        </w:rPr>
        <w:t xml:space="preserve"> words inclusive of references</w:t>
      </w:r>
    </w:p>
    <w:p>
      <w:pPr>
        <w:pStyle w:val="Default"/>
        <w:spacing w:before="0" w:line="360" w:lineRule="auto"/>
        <w:rPr>
          <w:rFonts w:ascii="Arial" w:cs="Arial" w:hAnsi="Arial" w:eastAsia="Arial"/>
          <w:sz w:val="22"/>
          <w:szCs w:val="22"/>
          <w:u w:color="000000"/>
        </w:rPr>
      </w:pPr>
    </w:p>
    <w:p>
      <w:pPr>
        <w:pStyle w:val="Default"/>
        <w:spacing w:before="0" w:line="360" w:lineRule="auto"/>
        <w:rPr>
          <w:rFonts w:ascii="Arial" w:cs="Arial" w:hAnsi="Arial" w:eastAsia="Arial"/>
          <w:sz w:val="22"/>
          <w:szCs w:val="22"/>
          <w:u w:color="000000"/>
        </w:rPr>
      </w:pPr>
      <w:r>
        <w:rPr>
          <w:rFonts w:ascii="Arial" w:hAnsi="Arial"/>
          <w:sz w:val="22"/>
          <w:szCs w:val="22"/>
          <w:u w:color="000000"/>
          <w:rtl w:val="0"/>
          <w:lang w:val="en-US"/>
        </w:rPr>
        <w:t>Extension due to extenuating circumstances granted.</w:t>
      </w:r>
    </w:p>
    <w:p>
      <w:pPr>
        <w:pStyle w:val="Default"/>
        <w:spacing w:before="0" w:line="360" w:lineRule="auto"/>
        <w:rPr>
          <w:rFonts w:ascii="Arial" w:cs="Arial" w:hAnsi="Arial" w:eastAsia="Arial"/>
          <w:sz w:val="22"/>
          <w:szCs w:val="22"/>
          <w:u w:color="000000"/>
        </w:rPr>
      </w:pPr>
    </w:p>
    <w:p>
      <w:pPr>
        <w:pStyle w:val="Default"/>
        <w:spacing w:before="0" w:line="360" w:lineRule="auto"/>
        <w:rPr>
          <w:rFonts w:ascii="Arial" w:cs="Arial" w:hAnsi="Arial" w:eastAsia="Arial"/>
          <w:sz w:val="22"/>
          <w:szCs w:val="22"/>
          <w:u w:color="000000"/>
        </w:rPr>
      </w:pPr>
      <w:r>
        <w:rPr>
          <w:rFonts w:ascii="Arial" w:hAnsi="Arial"/>
          <w:sz w:val="22"/>
          <w:szCs w:val="22"/>
          <w:u w:color="000000"/>
          <w:rtl w:val="0"/>
          <w:lang w:val="en-US"/>
        </w:rPr>
        <w:t>ND student</w:t>
      </w:r>
    </w:p>
    <w:p>
      <w:pPr>
        <w:pStyle w:val="Default"/>
        <w:spacing w:before="0" w:line="360" w:lineRule="auto"/>
        <w:rPr>
          <w:rFonts w:ascii="Arial" w:cs="Arial" w:hAnsi="Arial" w:eastAsia="Arial"/>
          <w:sz w:val="22"/>
          <w:szCs w:val="22"/>
          <w:u w:color="000000"/>
        </w:rPr>
      </w:pPr>
    </w:p>
    <w:p>
      <w:pPr>
        <w:pStyle w:val="Default"/>
        <w:spacing w:before="0" w:line="360" w:lineRule="auto"/>
        <w:rPr>
          <w:rFonts w:ascii="Arial" w:cs="Arial" w:hAnsi="Arial" w:eastAsia="Arial"/>
          <w:sz w:val="24"/>
          <w:szCs w:val="24"/>
          <w:u w:color="000000"/>
        </w:rPr>
      </w:pPr>
      <w:r>
        <w:rPr>
          <w:rFonts w:ascii="Arial" w:hAnsi="Arial"/>
          <w:sz w:val="24"/>
          <w:szCs w:val="24"/>
          <w:u w:color="000000"/>
          <w:rtl w:val="0"/>
          <w:lang w:val="en-US"/>
        </w:rPr>
        <w:t>1</w:t>
      </w:r>
      <w:r>
        <w:rPr>
          <w:rFonts w:ascii="Arial" w:hAnsi="Arial"/>
          <w:sz w:val="22"/>
          <w:szCs w:val="22"/>
          <w:u w:color="000000"/>
          <w:rtl w:val="0"/>
        </w:rPr>
        <w:t>2</w:t>
      </w:r>
      <w:r>
        <w:rPr>
          <w:rFonts w:ascii="Arial" w:hAnsi="Arial"/>
          <w:sz w:val="22"/>
          <w:szCs w:val="22"/>
          <w:u w:color="000000"/>
          <w:vertAlign w:val="superscript"/>
          <w:rtl w:val="0"/>
          <w:lang w:val="en-US"/>
        </w:rPr>
        <w:t xml:space="preserve">th </w:t>
      </w:r>
      <w:r>
        <w:rPr>
          <w:rFonts w:ascii="Arial" w:hAnsi="Arial"/>
          <w:sz w:val="24"/>
          <w:szCs w:val="24"/>
          <w:u w:color="000000"/>
          <w:rtl w:val="0"/>
          <w:lang w:val="en-US"/>
        </w:rPr>
        <w:t>December 2023</w:t>
      </w:r>
    </w:p>
    <w:p>
      <w:pPr>
        <w:pStyle w:val="Default"/>
        <w:spacing w:before="0" w:line="360" w:lineRule="auto"/>
        <w:rPr>
          <w:rFonts w:ascii="Arial" w:cs="Arial" w:hAnsi="Arial" w:eastAsia="Arial"/>
          <w:u w:color="000000"/>
        </w:rPr>
      </w:pPr>
    </w:p>
    <w:p>
      <w:pPr>
        <w:pStyle w:val="Default"/>
        <w:spacing w:before="0" w:line="360" w:lineRule="auto"/>
        <w:rPr>
          <w:sz w:val="22"/>
          <w:szCs w:val="22"/>
        </w:rPr>
      </w:pPr>
      <w:r>
        <w:rPr>
          <w:rFonts w:ascii="Arial" w:hAnsi="Arial"/>
          <w:sz w:val="22"/>
          <w:szCs w:val="22"/>
          <w:u w:color="000000"/>
          <w:rtl w:val="0"/>
          <w:lang w:val="en-US"/>
        </w:rPr>
        <w:t>Student Number: Unknown</w:t>
      </w:r>
    </w:p>
    <w:p>
      <w:pPr>
        <w:pStyle w:val="Default"/>
        <w:spacing w:before="0" w:line="480" w:lineRule="auto"/>
        <w:jc w:val="both"/>
      </w:pPr>
    </w:p>
    <w:p>
      <w:pPr>
        <w:pStyle w:val="Default"/>
        <w:spacing w:before="0" w:line="480" w:lineRule="auto"/>
        <w:jc w:val="both"/>
      </w:pPr>
    </w:p>
    <w:p>
      <w:pPr>
        <w:pStyle w:val="Default"/>
        <w:spacing w:before="0" w:line="480" w:lineRule="auto"/>
        <w:jc w:val="both"/>
      </w:pPr>
    </w:p>
    <w:p>
      <w:pPr>
        <w:pStyle w:val="Default"/>
        <w:spacing w:before="0" w:line="480" w:lineRule="auto"/>
        <w:jc w:val="both"/>
      </w:pPr>
    </w:p>
    <w:p>
      <w:pPr>
        <w:pStyle w:val="Default"/>
        <w:spacing w:before="0" w:line="480" w:lineRule="auto"/>
        <w:jc w:val="both"/>
      </w:pPr>
    </w:p>
    <w:p>
      <w:pPr>
        <w:pStyle w:val="Default"/>
        <w:spacing w:before="0" w:line="480" w:lineRule="auto"/>
        <w:jc w:val="both"/>
      </w:pPr>
    </w:p>
    <w:p>
      <w:pPr>
        <w:pStyle w:val="Default"/>
        <w:spacing w:before="0" w:line="480" w:lineRule="auto"/>
        <w:jc w:val="both"/>
      </w:pPr>
    </w:p>
    <w:p>
      <w:pPr>
        <w:pStyle w:val="Default"/>
        <w:spacing w:before="0" w:line="480" w:lineRule="auto"/>
        <w:jc w:val="both"/>
      </w:pPr>
    </w:p>
    <w:p>
      <w:pPr>
        <w:pStyle w:val="Default"/>
        <w:spacing w:before="0" w:line="480" w:lineRule="auto"/>
        <w:jc w:val="both"/>
      </w:pPr>
    </w:p>
    <w:p>
      <w:pPr>
        <w:pStyle w:val="Default"/>
        <w:spacing w:before="0" w:line="480" w:lineRule="auto"/>
        <w:jc w:val="both"/>
      </w:pPr>
    </w:p>
    <w:p>
      <w:pPr>
        <w:pStyle w:val="Default"/>
        <w:spacing w:before="0" w:line="480" w:lineRule="auto"/>
        <w:jc w:val="both"/>
      </w:pPr>
    </w:p>
    <w:p>
      <w:pPr>
        <w:pStyle w:val="Default"/>
        <w:spacing w:before="0" w:line="480" w:lineRule="auto"/>
        <w:jc w:val="both"/>
        <w:rPr>
          <w:rFonts w:ascii="Arial" w:cs="Arial" w:hAnsi="Arial" w:eastAsia="Arial"/>
          <w:outline w:val="0"/>
          <w:color w:val="1d2125"/>
          <w:u w:color="1d2125"/>
          <w:shd w:val="clear" w:color="auto" w:fill="ffffff"/>
          <w14:textFill>
            <w14:solidFill>
              <w14:srgbClr w14:val="1D2125"/>
            </w14:solidFill>
          </w14:textFill>
        </w:rPr>
      </w:pPr>
      <w:r>
        <w:rPr>
          <w:rFonts w:ascii="Arial" w:hAnsi="Arial"/>
          <w:outline w:val="0"/>
          <w:color w:val="1d2125"/>
          <w:u w:color="1d2125"/>
          <w:shd w:val="clear" w:color="auto" w:fill="ffffff"/>
          <w:rtl w:val="0"/>
          <w:lang w:val="en-US"/>
          <w14:textFill>
            <w14:solidFill>
              <w14:srgbClr w14:val="1D2125"/>
            </w14:solidFill>
          </w14:textFill>
        </w:rPr>
        <w:t xml:space="preserve">"ADHD is often viewed within a medical paradigm. With reference to academic literature, critically evaluate the usefulness of this approach when assessing and supporting individuals </w:t>
      </w:r>
      <w:r>
        <w:rPr>
          <w:rFonts w:ascii="Arial" w:hAnsi="Arial" w:hint="default"/>
          <w:outline w:val="0"/>
          <w:color w:val="1d2125"/>
          <w:u w:color="1d2125"/>
          <w:shd w:val="clear" w:color="auto" w:fill="ffffff"/>
          <w:rtl w:val="0"/>
          <w:lang w:val="en-US"/>
          <w14:textFill>
            <w14:solidFill>
              <w14:srgbClr w14:val="1D2125"/>
            </w14:solidFill>
          </w14:textFill>
        </w:rPr>
        <w:t>“</w:t>
      </w:r>
    </w:p>
    <w:p>
      <w:pPr>
        <w:pStyle w:val="Default"/>
        <w:spacing w:before="0" w:line="480" w:lineRule="auto"/>
        <w:jc w:val="both"/>
        <w:rPr>
          <w:rFonts w:ascii="Arial" w:cs="Arial" w:hAnsi="Arial" w:eastAsia="Arial"/>
          <w:outline w:val="0"/>
          <w:color w:val="1d2125"/>
          <w:u w:color="1d2125"/>
          <w:shd w:val="clear" w:color="auto" w:fill="ffffff"/>
          <w14:textFill>
            <w14:solidFill>
              <w14:srgbClr w14:val="1D2125"/>
            </w14:solidFill>
          </w14:textFill>
        </w:rPr>
      </w:pPr>
    </w:p>
    <w:p>
      <w:pPr>
        <w:pStyle w:val="Default"/>
        <w:spacing w:before="0" w:after="267" w:line="480" w:lineRule="auto"/>
        <w:jc w:val="both"/>
        <w:rPr>
          <w:rFonts w:ascii="Arial" w:cs="Arial" w:hAnsi="Arial" w:eastAsia="Arial"/>
        </w:rPr>
      </w:pPr>
      <w:r>
        <w:rPr>
          <w:rFonts w:ascii="Arial" w:hAnsi="Arial"/>
          <w:rtl w:val="0"/>
          <w:lang w:val="en-US"/>
        </w:rPr>
        <w:t>In this assignment, the author aims to highlight the benefits and limitations of a variety of attitudes and approaches towards the management and treatment of attention deficit, hyperactivity disorder (ADHD) and posits an opinion on the author</w:t>
      </w:r>
      <w:r>
        <w:rPr>
          <w:rFonts w:ascii="Arial" w:hAnsi="Arial" w:hint="default"/>
          <w:rtl w:val="0"/>
          <w:lang w:val="en-US"/>
        </w:rPr>
        <w:t>’</w:t>
      </w:r>
      <w:r>
        <w:rPr>
          <w:rFonts w:ascii="Arial" w:hAnsi="Arial"/>
          <w:rtl w:val="0"/>
          <w:lang w:val="en-US"/>
        </w:rPr>
        <w:t>s preferred approach.</w:t>
      </w:r>
    </w:p>
    <w:p>
      <w:pPr>
        <w:pStyle w:val="Default"/>
        <w:spacing w:before="0" w:after="267" w:line="480" w:lineRule="auto"/>
        <w:jc w:val="both"/>
        <w:rPr>
          <w:rFonts w:ascii="Arial" w:cs="Arial" w:hAnsi="Arial" w:eastAsia="Arial"/>
        </w:rPr>
      </w:pPr>
      <w:r>
        <w:rPr>
          <w:rFonts w:ascii="Arial" w:hAnsi="Arial"/>
          <w:rtl w:val="0"/>
          <w:lang w:val="en-US"/>
        </w:rPr>
        <w:t>T</w:t>
      </w:r>
      <w:r>
        <w:rPr>
          <w:rFonts w:ascii="Arial" w:hAnsi="Arial"/>
          <w:rtl w:val="0"/>
          <w:lang w:val="fr-FR"/>
        </w:rPr>
        <w:t xml:space="preserve">he influential philosopher Michael Foucault, </w:t>
      </w:r>
      <w:r>
        <w:rPr>
          <w:rFonts w:ascii="Arial" w:hAnsi="Arial"/>
          <w:rtl w:val="0"/>
          <w:lang w:val="en-US"/>
        </w:rPr>
        <w:t xml:space="preserve">was of the opinion that psychiatric condition classifications were the result of 18th century power relations (Mayes &amp; </w:t>
      </w:r>
      <w:r>
        <w:rPr>
          <w:rFonts w:ascii="Arial" w:hAnsi="Arial"/>
          <w:rtl w:val="0"/>
          <w:lang w:val="de-DE"/>
        </w:rPr>
        <w:t>Horwitz</w:t>
      </w:r>
      <w:r>
        <w:rPr>
          <w:rFonts w:ascii="Arial" w:hAnsi="Arial"/>
          <w:rtl w:val="0"/>
          <w:lang w:val="en-US"/>
        </w:rPr>
        <w:t xml:space="preserve">, 2005). </w:t>
      </w:r>
      <w:r>
        <w:rPr>
          <w:rFonts w:ascii="Arial" w:hAnsi="Arial"/>
          <w:shd w:val="clear" w:color="auto" w:fill="ffffff"/>
          <w:rtl w:val="0"/>
          <w:lang w:val="en-US"/>
        </w:rPr>
        <w:t xml:space="preserve">It has its roots in the Tudor period when scientists replaced religious leaders as the authority in society (Fraser 2009; </w:t>
      </w:r>
      <w:r>
        <w:rPr>
          <w:rFonts w:ascii="Arial" w:hAnsi="Arial"/>
          <w:outline w:val="0"/>
          <w:color w:val="222222"/>
          <w:u w:color="222222"/>
          <w:shd w:val="clear" w:color="auto" w:fill="ffffff"/>
          <w:rtl w:val="0"/>
          <w:lang w:val="en-US"/>
          <w14:textFill>
            <w14:solidFill>
              <w14:srgbClr w14:val="222222"/>
            </w14:solidFill>
          </w14:textFill>
        </w:rPr>
        <w:t>Haegele &amp; Hodge, 2016</w:t>
      </w:r>
      <w:r>
        <w:rPr>
          <w:rFonts w:ascii="Arial" w:hAnsi="Arial"/>
          <w:shd w:val="clear" w:color="auto" w:fill="ffffff"/>
          <w:rtl w:val="0"/>
          <w:lang w:val="en-US"/>
        </w:rPr>
        <w:t>). The resulting medical model is based on an understanding that the concept of disability is an individual problem that results in limited functioning that can be treated or cured. The premise infers that if the disability is treated the individual can become 'like everybody else</w:t>
      </w:r>
      <w:r>
        <w:rPr>
          <w:rFonts w:ascii="Arial" w:hAnsi="Arial" w:hint="default"/>
          <w:shd w:val="clear" w:color="auto" w:fill="ffffff"/>
          <w:rtl w:val="0"/>
          <w:lang w:val="en-US"/>
        </w:rPr>
        <w:t xml:space="preserve">’  </w:t>
      </w:r>
      <w:r>
        <w:rPr>
          <w:rFonts w:ascii="Arial" w:hAnsi="Arial"/>
          <w:shd w:val="clear" w:color="auto" w:fill="ffffff"/>
          <w:rtl w:val="0"/>
          <w:lang w:val="en-US"/>
        </w:rPr>
        <w:t xml:space="preserve">and makes an assumption that disability is undesirable. While this may be true of life-threatening illnesses or degenerative conditions, it is a normative view that does not take into account the experience or desire of the individual.  When it is applied to individuals with ADHD the medical model fails to represent these individuals accurately and could be viewed as harmful as the responsibility for 'managing' the disability lies with the individual. Any resistance to treatment may be viewed as non-compliant or unmotivated towards improvement (Roush &amp; Sharby 2011; </w:t>
      </w:r>
      <w:r>
        <w:rPr>
          <w:rFonts w:ascii="Arial" w:hAnsi="Arial"/>
          <w:outline w:val="0"/>
          <w:color w:val="222222"/>
          <w:u w:color="222222"/>
          <w:shd w:val="clear" w:color="auto" w:fill="ffffff"/>
          <w:rtl w:val="0"/>
          <w:lang w:val="en-US"/>
          <w14:textFill>
            <w14:solidFill>
              <w14:srgbClr w14:val="222222"/>
            </w14:solidFill>
          </w14:textFill>
        </w:rPr>
        <w:t>Haegele &amp; Hodge, 2016</w:t>
      </w:r>
      <w:r>
        <w:rPr>
          <w:rFonts w:ascii="Arial" w:hAnsi="Arial"/>
          <w:shd w:val="clear" w:color="auto" w:fill="ffffff"/>
          <w:rtl w:val="0"/>
          <w:lang w:val="en-US"/>
        </w:rPr>
        <w:t xml:space="preserve">).  This presents problems for ADHD individuals, as it suggests that they need to be </w:t>
      </w:r>
      <w:r>
        <w:rPr>
          <w:rFonts w:ascii="Arial" w:hAnsi="Arial" w:hint="default"/>
          <w:shd w:val="clear" w:color="auto" w:fill="ffffff"/>
          <w:rtl w:val="0"/>
          <w:lang w:val="en-US"/>
        </w:rPr>
        <w:t>‘</w:t>
      </w:r>
      <w:r>
        <w:rPr>
          <w:rFonts w:ascii="Arial" w:hAnsi="Arial"/>
          <w:shd w:val="clear" w:color="auto" w:fill="ffffff"/>
          <w:rtl w:val="0"/>
          <w:lang w:val="en-US"/>
        </w:rPr>
        <w:t>normal</w:t>
      </w:r>
      <w:r>
        <w:rPr>
          <w:rFonts w:ascii="Arial" w:hAnsi="Arial" w:hint="default"/>
          <w:shd w:val="clear" w:color="auto" w:fill="ffffff"/>
          <w:rtl w:val="0"/>
          <w:lang w:val="en-US"/>
        </w:rPr>
        <w:t>’</w:t>
      </w:r>
      <w:r>
        <w:rPr>
          <w:rFonts w:ascii="Arial" w:hAnsi="Arial"/>
          <w:shd w:val="clear" w:color="auto" w:fill="ffffff"/>
          <w:rtl w:val="0"/>
          <w:lang w:val="en-US"/>
        </w:rPr>
        <w:t>, rather than everybody else accepting their diversity.</w:t>
      </w:r>
    </w:p>
    <w:p>
      <w:pPr>
        <w:pStyle w:val="Default"/>
        <w:spacing w:before="0" w:line="480" w:lineRule="auto"/>
        <w:jc w:val="both"/>
        <w:rPr>
          <w:rFonts w:ascii="Arial" w:cs="Arial" w:hAnsi="Arial" w:eastAsia="Arial"/>
        </w:rPr>
      </w:pPr>
      <w:r>
        <w:rPr>
          <w:rFonts w:ascii="Arial" w:hAnsi="Arial"/>
          <w:rtl w:val="0"/>
          <w:lang w:val="en-US"/>
        </w:rPr>
        <w:t xml:space="preserve">The social model of disability (Burchardt, 2004) moves away completely from the medical model. The social model infers that society's structure, expectations and culture create disability where perhaps there needs to be none. It proposes that the expectations placed on members of society (Barton, 2004) create situations where less able people are unable to participate and are therefore excluded which creates </w:t>
      </w:r>
      <w:r>
        <w:rPr>
          <w:rFonts w:ascii="Arial" w:hAnsi="Arial" w:hint="default"/>
          <w:rtl w:val="0"/>
          <w:lang w:val="en-US"/>
        </w:rPr>
        <w:t>‘</w:t>
      </w:r>
      <w:r>
        <w:rPr>
          <w:rFonts w:ascii="Arial" w:hAnsi="Arial"/>
          <w:rtl w:val="0"/>
          <w:lang w:val="en-US"/>
        </w:rPr>
        <w:t>disability</w:t>
      </w:r>
      <w:r>
        <w:rPr>
          <w:rFonts w:ascii="Arial" w:hAnsi="Arial" w:hint="default"/>
          <w:rtl w:val="0"/>
          <w:lang w:val="en-US"/>
        </w:rPr>
        <w:t>’</w:t>
      </w:r>
      <w:r>
        <w:rPr>
          <w:rFonts w:ascii="Arial" w:hAnsi="Arial"/>
          <w:rtl w:val="0"/>
          <w:lang w:val="en-US"/>
        </w:rPr>
        <w:t>.</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rPr>
      </w:pPr>
      <w:r>
        <w:rPr>
          <w:rFonts w:ascii="Arial" w:hAnsi="Arial"/>
          <w:rtl w:val="0"/>
          <w:lang w:val="en-US"/>
        </w:rPr>
        <w:t>There are limitations to both the medical and social model of disability. Within psychiatry the medical model is insufficient as it ignores the many social aspects that can contribute to poor outcomes due to a mental health condition (</w:t>
      </w:r>
      <w:r>
        <w:rPr>
          <w:rFonts w:ascii="Arial" w:hAnsi="Arial"/>
          <w:outline w:val="0"/>
          <w:color w:val="222222"/>
          <w:u w:color="222222"/>
          <w:shd w:val="clear" w:color="auto" w:fill="ffffff"/>
          <w:rtl w:val="0"/>
          <w:lang w:val="en-US"/>
          <w14:textFill>
            <w14:solidFill>
              <w14:srgbClr w14:val="222222"/>
            </w14:solidFill>
          </w14:textFill>
        </w:rPr>
        <w:t xml:space="preserve">Baum, Revenson &amp; Singer, 2012; </w:t>
      </w:r>
      <w:r>
        <w:rPr>
          <w:rFonts w:ascii="Arial" w:hAnsi="Arial"/>
          <w:rtl w:val="0"/>
          <w:lang w:val="en-US"/>
        </w:rPr>
        <w:t>Hassan et al., 2020). This has been recognised and discussed in psychiatry for many years and resulted in debate around what constitutes a mental illness. Before the publication of DSM-III (American Psychiatric Association [APA], 1980), psychiatrists' treatment for mental disorders was a combination of psychodynamic and psychoanalytic theory known as the psychosocial model. The purpose of the psychosocial model was to understand how resilient an individual was to adjust to life stressors, explore personality and childhood experiences and their influence on individuals. Additionally, psychiatrists were very interested in subconscious drivers (Horwitz &amp; Grob, 2016). The publication of DSM-III (APA, 1980) is accepted as pioneering in psychiatry because it prompted the change from the psychosocial model to the biomedical model (Wilson, 1993).</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rPr>
      </w:pPr>
      <w:r>
        <w:rPr>
          <w:rFonts w:ascii="Arial" w:hAnsi="Arial"/>
          <w:rtl w:val="0"/>
          <w:lang w:val="en-US"/>
        </w:rPr>
        <w:t xml:space="preserve">The more recent biopsychosocial model (Wade &amp; Halligan, 2017) attempts to further incorporate the above models leading to mental health disorders now being treated within multidisciplinary teams that include medical professionals, social workers and therapists as the gold standard to treat patients more holistically (National Institute for Health Care and Excellence, 2019). In this sense, the biopsychosocial model, in the context of ADHD, has more scope for treatment options as it includes biomedical, sociological and behavioural factors and can be used to help ADHD patients develop strategies for managing their thinking and behaviour using treatment options such as CBT for example, and is now in fact, the leading theory and model used for the treatment of all </w:t>
      </w:r>
      <w:r>
        <w:rPr>
          <w:rFonts w:ascii="Arial" w:hAnsi="Arial"/>
          <w:rtl w:val="0"/>
          <w:lang w:val="nl-NL"/>
        </w:rPr>
        <w:t xml:space="preserve">mental </w:t>
      </w:r>
      <w:r>
        <w:rPr>
          <w:rFonts w:ascii="Arial" w:hAnsi="Arial"/>
          <w:rtl w:val="0"/>
          <w:lang w:val="en-US"/>
        </w:rPr>
        <w:t>ailments. It is also widely used in the treatment of physical illness (Baum et al., 2012, Wade &amp; Halligan 2017) because as medicine has progressed, the dual nature of lifestyle choices or limitations alongside biological vulnerability is more widely recognised. Attempts to address this are apparent in government-led programmes such as social prescribing (</w:t>
      </w:r>
      <w:r>
        <w:rPr>
          <w:rFonts w:ascii="Arial" w:hAnsi="Arial"/>
          <w:outline w:val="0"/>
          <w:color w:val="333333"/>
          <w:u w:color="333333"/>
          <w:shd w:val="clear" w:color="auto" w:fill="ffffff"/>
          <w:rtl w:val="0"/>
          <w:lang w:val="en-US"/>
          <w14:textFill>
            <w14:solidFill>
              <w14:srgbClr w14:val="333333"/>
            </w14:solidFill>
          </w14:textFill>
        </w:rPr>
        <w:t xml:space="preserve">Bickerdike, Booth, Wilson, Farley &amp; Wright, </w:t>
      </w:r>
      <w:r>
        <w:rPr>
          <w:rFonts w:ascii="Arial" w:hAnsi="Arial"/>
          <w:rtl w:val="0"/>
          <w:lang w:val="en-US"/>
        </w:rPr>
        <w:t>2017).</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rPr>
      </w:pPr>
      <w:r>
        <w:rPr>
          <w:rFonts w:ascii="Arial" w:hAnsi="Arial"/>
          <w:rtl w:val="0"/>
          <w:lang w:val="en-US"/>
        </w:rPr>
        <w:t>It is important to understand the history of psychiatry and the changes that have occurred in the context of ADHD and how it is viewed and treated in contemporary society because ADHD has historically had other labels such as Minimal Brain Dysfunction (MBD), Hyperactivity (HA) and Learning Disability (LD) (Mills, 2022; Taylor, 2011) and a range of treatment strategies that were considered favourable at any given time.</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rPr>
      </w:pPr>
      <w:r>
        <w:rPr>
          <w:rFonts w:ascii="Arial" w:hAnsi="Arial"/>
          <w:rtl w:val="0"/>
          <w:lang w:val="en-US"/>
        </w:rPr>
        <w:t>Proponents of psychodynamic approaches (Mills, 2022) argue that when one has a better understanding of a child's difficulties, a more holistic treatment plan can be formulated, but unfortunately this is a time-consuming process, which means that parents and teachers are still having to manage difficult behaviours while the assessment is ongoing and then while treatment strategies are formulated and applied.  Pharmacological interventions, on the other hand, are easy to administer, easy to measure and are economically more viable (Smith, 2008).  However, it is recognised that medication does not work for everyone.  Estimates are that approximately 30% of individuals do not respond positively to medication (Cecil, 2023) so for these individuals the medical model is as yet not offering much support.</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rPr>
      </w:pPr>
      <w:r>
        <w:rPr>
          <w:rFonts w:ascii="Arial" w:hAnsi="Arial"/>
          <w:rtl w:val="0"/>
          <w:lang w:val="de-DE"/>
        </w:rPr>
        <w:t xml:space="preserve">Wender (1972, </w:t>
      </w:r>
      <w:r>
        <w:rPr>
          <w:rFonts w:ascii="Arial" w:hAnsi="Arial"/>
          <w:rtl w:val="0"/>
          <w:lang w:val="en-US"/>
        </w:rPr>
        <w:t xml:space="preserve">1975, 1998) advocated strongly for pharmacological interventions. Through the course of his research, he completed a longitudinal study of the pharmacological benefits to ADHD patients and recorded positive results.   He argued that stimulants, when effective, were </w:t>
      </w:r>
      <w:r>
        <w:rPr>
          <w:rFonts w:ascii="Arial Unicode MS" w:hAnsi="Arial Unicode MS" w:hint="default"/>
          <w:rtl w:val="1"/>
          <w:lang w:val="ar-SA" w:bidi="ar-SA"/>
        </w:rPr>
        <w:t>“</w:t>
      </w:r>
      <w:r>
        <w:rPr>
          <w:rFonts w:ascii="Arial" w:hAnsi="Arial"/>
          <w:i w:val="1"/>
          <w:iCs w:val="1"/>
          <w:rtl w:val="0"/>
          <w:lang w:val="en-US"/>
        </w:rPr>
        <w:t>one of the most strikingly effective physical treatments in psychiatry, comparable, perhaps, only to electroconvulsive therapy in the treatment of serious endogenous depression</w:t>
      </w:r>
      <w:r>
        <w:rPr>
          <w:rFonts w:ascii="Arial" w:hAnsi="Arial" w:hint="default"/>
          <w:rtl w:val="0"/>
          <w:lang w:val="en-US"/>
        </w:rPr>
        <w:t xml:space="preserve">” </w:t>
      </w:r>
      <w:r>
        <w:rPr>
          <w:rFonts w:ascii="Arial" w:hAnsi="Arial"/>
          <w:rtl w:val="0"/>
          <w:lang w:val="en-US"/>
        </w:rPr>
        <w:t>(1972: p. 57). His view was that stimulants - when combined with certain</w:t>
      </w:r>
      <w:r>
        <w:rPr>
          <w:rFonts w:ascii="Arial" w:hAnsi="Arial"/>
          <w:rtl w:val="0"/>
          <w:lang w:val="fr-FR"/>
        </w:rPr>
        <w:t xml:space="preserve"> antidepressants, </w:t>
      </w:r>
      <w:r>
        <w:rPr>
          <w:rFonts w:ascii="Arial" w:hAnsi="Arial"/>
          <w:rtl w:val="0"/>
          <w:lang w:val="en-US"/>
        </w:rPr>
        <w:t>could</w:t>
      </w:r>
      <w:r>
        <w:rPr>
          <w:rFonts w:ascii="Arial" w:hAnsi="Arial"/>
          <w:rtl w:val="0"/>
          <w:lang w:val="it-IT"/>
        </w:rPr>
        <w:t xml:space="preserve"> improve </w:t>
      </w:r>
      <w:r>
        <w:rPr>
          <w:rFonts w:ascii="Arial" w:hAnsi="Arial"/>
          <w:rtl w:val="0"/>
          <w:lang w:val="en-US"/>
        </w:rPr>
        <w:t>many negative symptoms and improve psychological functioning. This included attention spans, whilst also improving interpersonal skills, social skills and cognition.</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rPr>
      </w:pPr>
      <w:r>
        <w:rPr>
          <w:rFonts w:ascii="Arial" w:hAnsi="Arial"/>
          <w:rtl w:val="0"/>
          <w:lang w:val="en-US"/>
        </w:rPr>
        <w:t xml:space="preserve">A new area of research within medicine is within the field of epigenetics (Lerner &amp; Overton, 2017; </w:t>
      </w:r>
      <w:r>
        <w:rPr>
          <w:rFonts w:ascii="Arial" w:hAnsi="Arial"/>
          <w:rtl w:val="0"/>
          <w:lang w:val="nl-NL"/>
        </w:rPr>
        <w:t>Thapar, Cooper,</w:t>
      </w:r>
      <w:r>
        <w:rPr>
          <w:rFonts w:ascii="Arial" w:hAnsi="Arial"/>
          <w:rtl w:val="0"/>
          <w:lang w:val="en-US"/>
        </w:rPr>
        <w:t xml:space="preserve"> Eyre, &amp; Langley, 2013; Schuch, Utsumi, Costa, Kulikowski, &amp; Muszkat, 2015; Halperin, B</w:t>
      </w:r>
      <w:r>
        <w:rPr>
          <w:rFonts w:ascii="Arial" w:hAnsi="Arial" w:hint="default"/>
          <w:rtl w:val="0"/>
          <w:lang w:val="fr-FR"/>
        </w:rPr>
        <w:t>é</w:t>
      </w:r>
      <w:r>
        <w:rPr>
          <w:rFonts w:ascii="Arial" w:hAnsi="Arial"/>
          <w:rtl w:val="0"/>
          <w:lang w:val="en-US"/>
        </w:rPr>
        <w:t xml:space="preserve">dard </w:t>
      </w:r>
      <w:r>
        <w:rPr>
          <w:rFonts w:ascii="Arial" w:hAnsi="Arial"/>
          <w:rtl w:val="0"/>
          <w:lang w:val="de-DE"/>
        </w:rPr>
        <w:t>&amp; Curchack-Lichtin, 2012)</w:t>
      </w:r>
      <w:r>
        <w:rPr>
          <w:rFonts w:ascii="Arial" w:hAnsi="Arial"/>
          <w:rtl w:val="0"/>
          <w:lang w:val="en-US"/>
        </w:rPr>
        <w:t xml:space="preserve">  Which hopes to provide some answers as to why some patients respond to medications while others do not by profiling the epigenetic markers to potentially identify different sub-types of ADHD, which is currently already well established in oncology (Cecil 2023).  So far however, there have been only seven Epiginome-wide studies (Cecil 2023) and these have all been on persons already identified as having ADHD.  The research as yet has not established whether ADHD is the </w:t>
      </w:r>
      <w:r>
        <w:rPr>
          <w:rFonts w:ascii="Arial" w:hAnsi="Arial"/>
          <w:i w:val="1"/>
          <w:iCs w:val="1"/>
          <w:rtl w:val="0"/>
          <w:lang w:val="en-US"/>
        </w:rPr>
        <w:t xml:space="preserve">cause </w:t>
      </w:r>
      <w:r>
        <w:rPr>
          <w:rFonts w:ascii="Arial" w:hAnsi="Arial"/>
          <w:rtl w:val="0"/>
          <w:lang w:val="en-US"/>
        </w:rPr>
        <w:t xml:space="preserve">of the epigenetic mutations or the </w:t>
      </w:r>
      <w:r>
        <w:rPr>
          <w:rFonts w:ascii="Arial" w:hAnsi="Arial"/>
          <w:i w:val="1"/>
          <w:iCs w:val="1"/>
          <w:rtl w:val="0"/>
          <w:lang w:val="en-US"/>
        </w:rPr>
        <w:t xml:space="preserve">symptom </w:t>
      </w:r>
      <w:r>
        <w:rPr>
          <w:rFonts w:ascii="Arial" w:hAnsi="Arial"/>
          <w:rtl w:val="0"/>
          <w:lang w:val="en-US"/>
        </w:rPr>
        <w:t xml:space="preserve">and more research is required to ascertain the usefulness of epigenetic identification across the lifespan and across genders.  Epigeneticists such as Lerner and Overton (2017) underline the importance of environmental factors in the modification of genomes emphasising that epigenetics is an </w:t>
      </w:r>
      <w:r>
        <w:rPr>
          <w:rFonts w:ascii="Arial" w:hAnsi="Arial" w:hint="default"/>
          <w:i w:val="1"/>
          <w:iCs w:val="1"/>
          <w:rtl w:val="0"/>
          <w:lang w:val="en-US"/>
        </w:rPr>
        <w:t>“</w:t>
      </w:r>
      <w:r>
        <w:rPr>
          <w:rFonts w:ascii="Arial" w:hAnsi="Arial"/>
          <w:i w:val="1"/>
          <w:iCs w:val="1"/>
          <w:rtl w:val="0"/>
          <w:lang w:val="en-US"/>
        </w:rPr>
        <w:t>interactive nature-nurture concept therefore conclusions cannot be made about whether one or the other has a more important role in behaviour and development</w:t>
      </w:r>
      <w:r>
        <w:rPr>
          <w:rFonts w:ascii="Arial" w:hAnsi="Arial" w:hint="default"/>
          <w:i w:val="1"/>
          <w:iCs w:val="1"/>
          <w:rtl w:val="0"/>
          <w:lang w:val="en-US"/>
        </w:rPr>
        <w:t>”</w:t>
      </w:r>
      <w:r>
        <w:rPr>
          <w:rFonts w:ascii="Arial" w:hAnsi="Arial"/>
          <w:rtl w:val="0"/>
          <w:lang w:val="en-US"/>
        </w:rPr>
        <w:t xml:space="preserve"> (p. 115). </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rPr>
      </w:pPr>
      <w:r>
        <w:rPr>
          <w:rFonts w:ascii="Arial" w:hAnsi="Arial"/>
          <w:rtl w:val="0"/>
          <w:lang w:val="en-US"/>
        </w:rPr>
        <w:t xml:space="preserve">All of the interventions listed above have one thing in common. They imply that ADHD is undesirable and therefore needs to be treated or moderated in some way (Shoham, Sonuga-Barke, Aloni, Yaniv &amp; Pollak, 2016). This is because researchers have focused on the negative aspects of ADHD in groups of people who utilise public resources excessively or have lifestyle choices that require more input from health services. (Nigg, 2013;  </w:t>
      </w:r>
      <w:r>
        <w:rPr>
          <w:rFonts w:ascii="Arial" w:hAnsi="Arial"/>
          <w:rtl w:val="0"/>
          <w:lang w:val="de-DE"/>
        </w:rPr>
        <w:t>Kollins, McClernon</w:t>
      </w:r>
      <w:r>
        <w:rPr>
          <w:rFonts w:ascii="Arial" w:hAnsi="Arial"/>
          <w:rtl w:val="0"/>
          <w:lang w:val="en-US"/>
        </w:rPr>
        <w:t xml:space="preserve"> &amp; Fuemmeler, 2005; Charach, Yeung, Climans &amp; Lillie, 2011; Barkley &amp; Cox, 2007; Breyer et al, 2009; </w:t>
      </w:r>
      <w:r>
        <w:rPr>
          <w:rFonts w:ascii="Arial" w:hAnsi="Arial"/>
          <w:rtl w:val="0"/>
          <w:lang w:val="da-DK"/>
        </w:rPr>
        <w:t>Sarver, McCart,</w:t>
      </w:r>
      <w:r>
        <w:rPr>
          <w:rFonts w:ascii="Arial" w:hAnsi="Arial"/>
          <w:rtl w:val="0"/>
          <w:lang w:val="en-US"/>
        </w:rPr>
        <w:t xml:space="preserve"> Sheidow </w:t>
      </w:r>
      <w:r>
        <w:rPr>
          <w:rFonts w:ascii="Arial" w:hAnsi="Arial"/>
          <w:rtl w:val="0"/>
          <w:lang w:val="fr-FR"/>
        </w:rPr>
        <w:t>&amp; Letourneau, 2014)</w:t>
      </w:r>
      <w:r>
        <w:rPr>
          <w:rFonts w:ascii="Arial" w:hAnsi="Arial"/>
          <w:rtl w:val="0"/>
          <w:lang w:val="en-US"/>
        </w:rPr>
        <w:t>.  This concerns the author (as one who has ADHD) because there may be unintended negative consequences to eliminating ADHD as a condition, which epigenetics in particular potentially can promise.</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rPr>
      </w:pPr>
      <w:r>
        <w:rPr>
          <w:rFonts w:ascii="Arial" w:hAnsi="Arial"/>
          <w:rtl w:val="0"/>
          <w:lang w:val="en-US"/>
        </w:rPr>
        <w:t>In an attempt to address this imbalance, some researchers posit that ADHD is an adaptive condition that benefits not only the individual but society as a whole (Sedgwick, Merwood &amp; Asherson, 2019; Shoham et al, 2016;  Wilmshurst, Peele &amp; Wilmshurst, 2011; Glass, Flory &amp; Hankin, 2012).  They argue that rather than being detrimental, ADHD for example  increases positive close friendships in children and improves resilience in both children and adults.  Furthermore, they argue that the inhibition and impulsivity of the ADHD-inflicted individual may be a contributory factor in entrepreneurialism, and is instrumental in developing creative ideas. There is also some evidence that hyperactivity is linked to self-employment (</w:t>
      </w:r>
      <w:r>
        <w:rPr>
          <w:rFonts w:ascii="Arial" w:hAnsi="Arial"/>
          <w:rtl w:val="0"/>
          <w:lang w:val="de-DE"/>
        </w:rPr>
        <w:t>Verheul</w:t>
      </w:r>
      <w:r>
        <w:rPr>
          <w:rFonts w:ascii="Arial" w:hAnsi="Arial"/>
          <w:rtl w:val="0"/>
          <w:lang w:val="en-US"/>
        </w:rPr>
        <w:t xml:space="preserve"> et al, 2016) which is an important factor in socioeconomic life.</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rPr>
      </w:pPr>
      <w:r>
        <w:rPr>
          <w:rFonts w:ascii="Arial" w:hAnsi="Arial"/>
          <w:rtl w:val="0"/>
          <w:lang w:val="en-US"/>
        </w:rPr>
        <w:t xml:space="preserve">This emphasis on the value of ADHD as a condition, rather than the cost is the focus of Darwinian psychiatry (Verheul et al, 2016) which shares some of its value base with paleoanthropologists.  Darwinian psychiatrists or </w:t>
      </w:r>
      <w:r>
        <w:rPr>
          <w:rFonts w:ascii="Arial" w:hAnsi="Arial" w:hint="default"/>
          <w:rtl w:val="0"/>
          <w:lang w:val="en-US"/>
        </w:rPr>
        <w:t>‘</w:t>
      </w:r>
      <w:r>
        <w:rPr>
          <w:rFonts w:ascii="Arial" w:hAnsi="Arial"/>
          <w:rtl w:val="0"/>
          <w:lang w:val="en-US"/>
        </w:rPr>
        <w:t>evolutionary</w:t>
      </w:r>
      <w:r>
        <w:rPr>
          <w:rFonts w:ascii="Arial" w:hAnsi="Arial" w:hint="default"/>
          <w:rtl w:val="0"/>
          <w:lang w:val="en-US"/>
        </w:rPr>
        <w:t xml:space="preserve">’ </w:t>
      </w:r>
      <w:r>
        <w:rPr>
          <w:rFonts w:ascii="Arial" w:hAnsi="Arial"/>
          <w:rtl w:val="0"/>
          <w:lang w:val="en-US"/>
        </w:rPr>
        <w:t>psychiatrists argue that the persistence of conditions such as ADHD serve a beneficial purpose for individuals, and that patients who have significant disability are reservoirs of genetic material that is beneficial for the rest of society in its milder forms (</w:t>
      </w:r>
      <w:r>
        <w:rPr>
          <w:rFonts w:ascii="Arial" w:hAnsi="Arial"/>
          <w:rtl w:val="0"/>
          <w:lang w:val="fr-FR"/>
        </w:rPr>
        <w:t>Shelley-Tremblay</w:t>
      </w:r>
      <w:r>
        <w:rPr>
          <w:rFonts w:ascii="Arial" w:hAnsi="Arial"/>
          <w:rtl w:val="0"/>
          <w:lang w:val="en-US"/>
        </w:rPr>
        <w:t xml:space="preserve"> </w:t>
      </w:r>
      <w:r>
        <w:rPr>
          <w:rFonts w:ascii="Arial" w:hAnsi="Arial"/>
          <w:rtl w:val="0"/>
          <w:lang w:val="da-DK"/>
        </w:rPr>
        <w:t>&amp; Rosen,</w:t>
      </w:r>
      <w:r>
        <w:rPr>
          <w:rFonts w:ascii="Arial" w:hAnsi="Arial"/>
          <w:rtl w:val="0"/>
          <w:lang w:val="en-US"/>
        </w:rPr>
        <w:t xml:space="preserve"> 1996; Brune et al, 2012; Rovai et al, 2013).</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rPr>
      </w:pPr>
      <w:r>
        <w:rPr>
          <w:rFonts w:ascii="Arial" w:hAnsi="Arial"/>
          <w:rtl w:val="0"/>
          <w:lang w:val="en-US"/>
        </w:rPr>
        <w:t>In conclusion, it is the author</w:t>
      </w:r>
      <w:r>
        <w:rPr>
          <w:rFonts w:ascii="Arial" w:hAnsi="Arial" w:hint="default"/>
          <w:rtl w:val="0"/>
          <w:lang w:val="en-US"/>
        </w:rPr>
        <w:t>’</w:t>
      </w:r>
      <w:r>
        <w:rPr>
          <w:rFonts w:ascii="Arial" w:hAnsi="Arial"/>
          <w:rtl w:val="0"/>
          <w:lang w:val="en-US"/>
        </w:rPr>
        <w:t xml:space="preserve">s opinion that ADHD, in the right environment with the right support could be viewed as a positive attribute rather than a deficit that needs to be controlled and managed. If children and young people were encouraged to use their </w:t>
      </w:r>
      <w:r>
        <w:rPr>
          <w:rFonts w:ascii="Arial" w:hAnsi="Arial" w:hint="default"/>
          <w:rtl w:val="0"/>
          <w:lang w:val="en-US"/>
        </w:rPr>
        <w:t>‘</w:t>
      </w:r>
      <w:r>
        <w:rPr>
          <w:rFonts w:ascii="Arial" w:hAnsi="Arial"/>
          <w:rtl w:val="0"/>
          <w:lang w:val="en-US"/>
        </w:rPr>
        <w:t>superpowers</w:t>
      </w:r>
      <w:r>
        <w:rPr>
          <w:rFonts w:ascii="Arial" w:hAnsi="Arial" w:hint="default"/>
          <w:rtl w:val="0"/>
          <w:lang w:val="en-US"/>
        </w:rPr>
        <w:t xml:space="preserve">’ </w:t>
      </w:r>
      <w:r>
        <w:rPr>
          <w:rFonts w:ascii="Arial" w:hAnsi="Arial"/>
          <w:rtl w:val="0"/>
          <w:lang w:val="en-US"/>
        </w:rPr>
        <w:t>in the way that perhaps nature intended, potentially they could have unlimited success. Unfortunately, the education system and the labour market as it stands today are not conducive to free-spirited, creative, and perhaps chaotic individuals.  An overhaul of both systems would be needed to facilitate this, and a discussion of this is unfortunately outside the scope of this assignment brief.  So this is where the medical model has some particular benefits to the ADHD patient.  Given the limitations alluded to within society</w:t>
      </w:r>
      <w:r>
        <w:rPr>
          <w:rFonts w:ascii="Arial" w:hAnsi="Arial" w:hint="default"/>
          <w:rtl w:val="0"/>
          <w:lang w:val="en-US"/>
        </w:rPr>
        <w:t>’</w:t>
      </w:r>
      <w:r>
        <w:rPr>
          <w:rFonts w:ascii="Arial" w:hAnsi="Arial"/>
          <w:rtl w:val="0"/>
          <w:lang w:val="en-US"/>
        </w:rPr>
        <w:t>s current structure, the medical model provides the evidence base and therefore the opportunity for an individual to be treated as a disabled person (Lewis, 2010), with the reasonable adjustments and medications that are associated with that to participate in a world not designed with them in mind.  But in the author</w:t>
      </w:r>
      <w:r>
        <w:rPr>
          <w:rFonts w:ascii="Arial" w:hAnsi="Arial" w:hint="default"/>
          <w:rtl w:val="0"/>
          <w:lang w:val="en-US"/>
        </w:rPr>
        <w:t>’</w:t>
      </w:r>
      <w:r>
        <w:rPr>
          <w:rFonts w:ascii="Arial" w:hAnsi="Arial"/>
          <w:rtl w:val="0"/>
          <w:lang w:val="en-US"/>
        </w:rPr>
        <w:t>s opinion, this is just a sticking plaster on a wider societal issue.</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rPr>
      </w:pPr>
      <w:r>
        <w:rPr>
          <w:rFonts w:ascii="Arial" w:hAnsi="Arial"/>
          <w:rtl w:val="0"/>
          <w:lang w:val="en-US"/>
        </w:rPr>
        <w:t>References</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 xml:space="preserve">American Psychiatric Association, D. S. M. T. F., &amp; American Psychiatric Association. (2013). </w:t>
      </w:r>
      <w:r>
        <w:rPr>
          <w:rFonts w:ascii="Arial" w:hAnsi="Arial"/>
          <w:i w:val="1"/>
          <w:iCs w:val="1"/>
          <w:outline w:val="0"/>
          <w:color w:val="222222"/>
          <w:u w:color="222222"/>
          <w:shd w:val="clear" w:color="auto" w:fill="ffffff"/>
          <w:rtl w:val="0"/>
          <w:lang w:val="en-US"/>
          <w14:textFill>
            <w14:solidFill>
              <w14:srgbClr w14:val="222222"/>
            </w14:solidFill>
          </w14:textFill>
        </w:rPr>
        <w:t>Diagnostic and statistical manual of mental disorders: DSM-5</w:t>
      </w:r>
      <w:r>
        <w:rPr>
          <w:rFonts w:ascii="Arial" w:hAnsi="Arial"/>
          <w:outline w:val="0"/>
          <w:color w:val="222222"/>
          <w:u w:color="222222"/>
          <w:shd w:val="clear" w:color="auto" w:fill="ffffff"/>
          <w:rtl w:val="0"/>
          <w:lang w:val="en-US"/>
          <w14:textFill>
            <w14:solidFill>
              <w14:srgbClr w14:val="222222"/>
            </w14:solidFill>
          </w14:textFill>
        </w:rPr>
        <w:t xml:space="preserve"> (Vol. 5, No. 5). Washington, DC: American psychiatric association.</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rtl w:val="0"/>
          <w:lang w:val="en-US"/>
        </w:rPr>
        <w:t>Barton, L. (2018).</w:t>
      </w:r>
      <w:r>
        <w:rPr>
          <w:rFonts w:ascii="Arial" w:hAnsi="Arial" w:hint="default"/>
          <w:rtl w:val="0"/>
          <w:lang w:val="en-US"/>
        </w:rPr>
        <w:t> </w:t>
      </w:r>
      <w:r>
        <w:rPr>
          <w:rFonts w:ascii="Arial" w:hAnsi="Arial"/>
          <w:i w:val="1"/>
          <w:iCs w:val="1"/>
          <w:rtl w:val="0"/>
          <w:lang w:val="en-US"/>
        </w:rPr>
        <w:t>Disability and society: Emerging issues and insights</w:t>
      </w:r>
      <w:r>
        <w:rPr>
          <w:rFonts w:ascii="Arial" w:hAnsi="Arial"/>
          <w:rtl w:val="0"/>
          <w:lang w:val="en-US"/>
        </w:rPr>
        <w:t>. Routledge.</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Baum, A., Revenson, T. A., &amp; Singer, J. (2012).</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Handbook of health psychology</w:t>
      </w:r>
      <w:r>
        <w:rPr>
          <w:rFonts w:ascii="Arial" w:hAnsi="Arial"/>
          <w:outline w:val="0"/>
          <w:color w:val="222222"/>
          <w:u w:color="222222"/>
          <w:shd w:val="clear" w:color="auto" w:fill="ffffff"/>
          <w:rtl w:val="0"/>
          <w:lang w:val="en-US"/>
          <w14:textFill>
            <w14:solidFill>
              <w14:srgbClr w14:val="222222"/>
            </w14:solidFill>
          </w14:textFill>
        </w:rPr>
        <w:t>. Psychology press.</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333333"/>
          <w:u w:color="333333"/>
          <w:shd w:val="clear" w:color="auto" w:fill="ffffff"/>
          <w14:textFill>
            <w14:solidFill>
              <w14:srgbClr w14:val="333333"/>
            </w14:solidFill>
          </w14:textFill>
        </w:rPr>
      </w:pPr>
      <w:r>
        <w:rPr>
          <w:rFonts w:ascii="Arial" w:hAnsi="Arial"/>
          <w:outline w:val="0"/>
          <w:color w:val="333333"/>
          <w:u w:color="333333"/>
          <w:shd w:val="clear" w:color="auto" w:fill="ffffff"/>
          <w:rtl w:val="0"/>
          <w:lang w:val="en-US"/>
          <w14:textFill>
            <w14:solidFill>
              <w14:srgbClr w14:val="333333"/>
            </w14:solidFill>
          </w14:textFill>
        </w:rPr>
        <w:t xml:space="preserve">Bickerdike, L., Booth, A., Wilson, P. M., Farley, K., &amp; Wright, K. (2017). </w:t>
      </w:r>
      <w:r>
        <w:rPr>
          <w:rFonts w:ascii="Arial" w:hAnsi="Arial"/>
          <w:i w:val="1"/>
          <w:iCs w:val="1"/>
          <w:outline w:val="0"/>
          <w:color w:val="333333"/>
          <w:u w:color="333333"/>
          <w:shd w:val="clear" w:color="auto" w:fill="ffffff"/>
          <w:rtl w:val="0"/>
          <w:lang w:val="en-US"/>
          <w14:textFill>
            <w14:solidFill>
              <w14:srgbClr w14:val="333333"/>
            </w14:solidFill>
          </w14:textFill>
        </w:rPr>
        <w:t>Social prescribing: less rhetoric and more reality. A systematic review of the evidence</w:t>
      </w:r>
      <w:r>
        <w:rPr>
          <w:rFonts w:ascii="Arial" w:hAnsi="Arial"/>
          <w:outline w:val="0"/>
          <w:color w:val="333333"/>
          <w:u w:color="333333"/>
          <w:shd w:val="clear" w:color="auto" w:fill="ffffff"/>
          <w:rtl w:val="0"/>
          <w:lang w:val="en-US"/>
          <w14:textFill>
            <w14:solidFill>
              <w14:srgbClr w14:val="333333"/>
            </w14:solidFill>
          </w14:textFill>
        </w:rPr>
        <w:t>.</w:t>
      </w:r>
      <w:r>
        <w:rPr>
          <w:rFonts w:ascii="Arial" w:hAnsi="Arial" w:hint="default"/>
          <w:outline w:val="0"/>
          <w:color w:val="333333"/>
          <w:u w:color="333333"/>
          <w:shd w:val="clear" w:color="auto" w:fill="ffffff"/>
          <w:rtl w:val="0"/>
          <w:lang w:val="en-US"/>
          <w14:textFill>
            <w14:solidFill>
              <w14:srgbClr w14:val="333333"/>
            </w14:solidFill>
          </w14:textFill>
        </w:rPr>
        <w:t> </w:t>
      </w:r>
      <w:r>
        <w:rPr>
          <w:rFonts w:ascii="Arial" w:hAnsi="Arial"/>
          <w:i w:val="1"/>
          <w:iCs w:val="1"/>
          <w:outline w:val="0"/>
          <w:color w:val="333333"/>
          <w:u w:color="333333"/>
          <w:shd w:val="clear" w:color="auto" w:fill="ffffff"/>
          <w:rtl w:val="0"/>
          <w:lang w:val="nl-NL"/>
          <w14:textFill>
            <w14:solidFill>
              <w14:srgbClr w14:val="333333"/>
            </w14:solidFill>
          </w14:textFill>
        </w:rPr>
        <w:t>BMJ open</w:t>
      </w:r>
      <w:r>
        <w:rPr>
          <w:rFonts w:ascii="Arial" w:hAnsi="Arial"/>
          <w:outline w:val="0"/>
          <w:color w:val="333333"/>
          <w:u w:color="333333"/>
          <w:shd w:val="clear" w:color="auto" w:fill="ffffff"/>
          <w:rtl w:val="0"/>
          <w:lang w:val="en-US"/>
          <w14:textFill>
            <w14:solidFill>
              <w14:srgbClr w14:val="333333"/>
            </w14:solidFill>
          </w14:textFill>
        </w:rPr>
        <w:t>,</w:t>
      </w:r>
      <w:r>
        <w:rPr>
          <w:rFonts w:ascii="Arial" w:hAnsi="Arial" w:hint="default"/>
          <w:outline w:val="0"/>
          <w:color w:val="333333"/>
          <w:u w:color="333333"/>
          <w:shd w:val="clear" w:color="auto" w:fill="ffffff"/>
          <w:rtl w:val="0"/>
          <w:lang w:val="en-US"/>
          <w14:textFill>
            <w14:solidFill>
              <w14:srgbClr w14:val="333333"/>
            </w14:solidFill>
          </w14:textFill>
        </w:rPr>
        <w:t> </w:t>
      </w:r>
      <w:r>
        <w:rPr>
          <w:rFonts w:ascii="Arial" w:hAnsi="Arial"/>
          <w:i w:val="1"/>
          <w:iCs w:val="1"/>
          <w:outline w:val="0"/>
          <w:color w:val="333333"/>
          <w:u w:color="333333"/>
          <w:shd w:val="clear" w:color="auto" w:fill="ffffff"/>
          <w:rtl w:val="0"/>
          <w:lang w:val="en-US"/>
          <w14:textFill>
            <w14:solidFill>
              <w14:srgbClr w14:val="333333"/>
            </w14:solidFill>
          </w14:textFill>
        </w:rPr>
        <w:t>7</w:t>
      </w:r>
      <w:r>
        <w:rPr>
          <w:rFonts w:ascii="Arial" w:hAnsi="Arial"/>
          <w:outline w:val="0"/>
          <w:color w:val="333333"/>
          <w:u w:color="333333"/>
          <w:shd w:val="clear" w:color="auto" w:fill="ffffff"/>
          <w:rtl w:val="0"/>
          <w:lang w:val="en-US"/>
          <w14:textFill>
            <w14:solidFill>
              <w14:srgbClr w14:val="333333"/>
            </w14:solidFill>
          </w14:textFill>
        </w:rPr>
        <w:t>(4), e013384.</w:t>
      </w:r>
    </w:p>
    <w:p>
      <w:pPr>
        <w:pStyle w:val="Default"/>
        <w:spacing w:before="0" w:line="480" w:lineRule="auto"/>
        <w:jc w:val="both"/>
        <w:rPr>
          <w:rFonts w:ascii="Arial" w:cs="Arial" w:hAnsi="Arial" w:eastAsia="Arial"/>
          <w:outline w:val="0"/>
          <w:color w:val="3a3a3a"/>
          <w:u w:color="3a3a3a"/>
          <w:shd w:val="clear" w:color="auto" w:fill="ffffff"/>
          <w14:textFill>
            <w14:solidFill>
              <w14:srgbClr w14:val="3A3A3A"/>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Br</w:t>
      </w:r>
      <w:r>
        <w:rPr>
          <w:rFonts w:ascii="Arial" w:hAnsi="Arial" w:hint="default"/>
          <w:outline w:val="0"/>
          <w:color w:val="222222"/>
          <w:u w:color="222222"/>
          <w:shd w:val="clear" w:color="auto" w:fill="ffffff"/>
          <w:rtl w:val="0"/>
          <w:lang w:val="en-US"/>
          <w14:textFill>
            <w14:solidFill>
              <w14:srgbClr w14:val="222222"/>
            </w14:solidFill>
          </w14:textFill>
        </w:rPr>
        <w:t>ü</w:t>
      </w:r>
      <w:r>
        <w:rPr>
          <w:rFonts w:ascii="Arial" w:hAnsi="Arial"/>
          <w:outline w:val="0"/>
          <w:color w:val="222222"/>
          <w:u w:color="222222"/>
          <w:shd w:val="clear" w:color="auto" w:fill="ffffff"/>
          <w:rtl w:val="0"/>
          <w:lang w:val="en-US"/>
          <w14:textFill>
            <w14:solidFill>
              <w14:srgbClr w14:val="222222"/>
            </w14:solidFill>
          </w14:textFill>
        </w:rPr>
        <w:t xml:space="preserve">ne, M., Belsky, J., Fabrega, H., Feierman, H. R., Gilbert, P., Glantz, K., ... &amp; Wilson, D. R. (2012). </w:t>
      </w:r>
      <w:r>
        <w:rPr>
          <w:rFonts w:ascii="Arial" w:hAnsi="Arial"/>
          <w:i w:val="1"/>
          <w:iCs w:val="1"/>
          <w:outline w:val="0"/>
          <w:color w:val="222222"/>
          <w:u w:color="222222"/>
          <w:shd w:val="clear" w:color="auto" w:fill="ffffff"/>
          <w:rtl w:val="0"/>
          <w:lang w:val="en-US"/>
          <w14:textFill>
            <w14:solidFill>
              <w14:srgbClr w14:val="222222"/>
            </w14:solidFill>
          </w14:textFill>
        </w:rPr>
        <w:t>T</w:t>
      </w:r>
      <w:r>
        <w:rPr>
          <w:rFonts w:ascii="Arial" w:hAnsi="Arial"/>
          <w:outline w:val="0"/>
          <w:color w:val="222222"/>
          <w:u w:color="222222"/>
          <w:shd w:val="clear" w:color="auto" w:fill="ffffff"/>
          <w:rtl w:val="0"/>
          <w:lang w:val="en-US"/>
          <w14:textFill>
            <w14:solidFill>
              <w14:srgbClr w14:val="222222"/>
            </w14:solidFill>
          </w14:textFill>
        </w:rPr>
        <w:t>he crisis of psychiatry</w:t>
      </w:r>
      <w:r>
        <w:rPr>
          <w:rFonts w:ascii="Arial" w:hAnsi="Arial" w:hint="default"/>
          <w:outline w:val="0"/>
          <w:color w:val="222222"/>
          <w:u w:color="222222"/>
          <w:shd w:val="clear" w:color="auto" w:fill="ffffff"/>
          <w:rtl w:val="0"/>
          <w:lang w:val="en-US"/>
          <w14:textFill>
            <w14:solidFill>
              <w14:srgbClr w14:val="222222"/>
            </w14:solidFill>
          </w14:textFill>
        </w:rPr>
        <w:t>–</w:t>
      </w:r>
      <w:r>
        <w:rPr>
          <w:rFonts w:ascii="Arial" w:hAnsi="Arial"/>
          <w:outline w:val="0"/>
          <w:color w:val="222222"/>
          <w:u w:color="222222"/>
          <w:shd w:val="clear" w:color="auto" w:fill="ffffff"/>
          <w:rtl w:val="0"/>
          <w:lang w:val="en-US"/>
          <w14:textFill>
            <w14:solidFill>
              <w14:srgbClr w14:val="222222"/>
            </w14:solidFill>
          </w14:textFill>
        </w:rPr>
        <w:t>insights and prospects from evolutionary theory.</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World Psychiatry</w:t>
      </w:r>
      <w:r>
        <w:rPr>
          <w:rFonts w:ascii="Arial" w:hAnsi="Arial"/>
          <w:outline w:val="0"/>
          <w:color w:val="222222"/>
          <w:u w:color="222222"/>
          <w:shd w:val="clear" w:color="auto" w:fill="ffffff"/>
          <w:rtl w:val="0"/>
          <w:lang w:val="en-US"/>
          <w14:textFill>
            <w14:solidFill>
              <w14:srgbClr w14:val="222222"/>
            </w14:solidFill>
          </w14:textFill>
        </w:rPr>
        <w:t>,</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outline w:val="0"/>
          <w:color w:val="222222"/>
          <w:u w:color="222222"/>
          <w:shd w:val="clear" w:color="auto" w:fill="ffffff"/>
          <w:rtl w:val="0"/>
          <w:lang w:val="en-US"/>
          <w14:textFill>
            <w14:solidFill>
              <w14:srgbClr w14:val="222222"/>
            </w14:solidFill>
          </w14:textFill>
        </w:rPr>
        <w:t>11(1), 55.</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rPr>
      </w:pPr>
      <w:r>
        <w:rPr>
          <w:rFonts w:ascii="Arial" w:hAnsi="Arial"/>
          <w:rtl w:val="0"/>
          <w:lang w:val="en-US"/>
        </w:rPr>
        <w:t>Burchardt, T. (2004). Capabilities and disability: the capabilities framework and the social model of disability.</w:t>
      </w:r>
      <w:r>
        <w:rPr>
          <w:rFonts w:ascii="Arial" w:hAnsi="Arial" w:hint="default"/>
          <w:rtl w:val="0"/>
          <w:lang w:val="en-US"/>
        </w:rPr>
        <w:t> </w:t>
      </w:r>
      <w:r>
        <w:rPr>
          <w:rFonts w:ascii="Arial" w:hAnsi="Arial"/>
          <w:i w:val="1"/>
          <w:iCs w:val="1"/>
          <w:rtl w:val="0"/>
          <w:lang w:val="en-US"/>
        </w:rPr>
        <w:t>Disability &amp; society</w:t>
      </w:r>
      <w:r>
        <w:rPr>
          <w:rFonts w:ascii="Arial" w:hAnsi="Arial"/>
          <w:rtl w:val="0"/>
          <w:lang w:val="en-US"/>
        </w:rPr>
        <w:t>,</w:t>
      </w:r>
      <w:r>
        <w:rPr>
          <w:rFonts w:ascii="Arial" w:hAnsi="Arial" w:hint="default"/>
          <w:rtl w:val="0"/>
          <w:lang w:val="en-US"/>
        </w:rPr>
        <w:t> </w:t>
      </w:r>
      <w:r>
        <w:rPr>
          <w:rFonts w:ascii="Arial" w:hAnsi="Arial"/>
          <w:i w:val="1"/>
          <w:iCs w:val="1"/>
          <w:rtl w:val="0"/>
          <w:lang w:val="en-US"/>
        </w:rPr>
        <w:t>19</w:t>
      </w:r>
      <w:r>
        <w:rPr>
          <w:rFonts w:ascii="Arial" w:hAnsi="Arial"/>
          <w:rtl w:val="0"/>
          <w:lang w:val="en-US"/>
        </w:rPr>
        <w:t>(7), 735-751.</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 xml:space="preserve">Barkley, R. A., &amp; Cox, D. (2007). A review of driving risks and impairments associated with attention-deficit/hyperactivity disorder and the effects of stimulant medication on driving performance. </w:t>
      </w:r>
      <w:r>
        <w:rPr>
          <w:rFonts w:ascii="Arial" w:hAnsi="Arial"/>
          <w:i w:val="1"/>
          <w:iCs w:val="1"/>
          <w:outline w:val="0"/>
          <w:color w:val="222222"/>
          <w:u w:color="222222"/>
          <w:shd w:val="clear" w:color="auto" w:fill="ffffff"/>
          <w:rtl w:val="0"/>
          <w:lang w:val="en-US"/>
          <w14:textFill>
            <w14:solidFill>
              <w14:srgbClr w14:val="222222"/>
            </w14:solidFill>
          </w14:textFill>
        </w:rPr>
        <w:t>Journal of safety research</w:t>
      </w:r>
      <w:r>
        <w:rPr>
          <w:rFonts w:ascii="Arial" w:hAnsi="Arial"/>
          <w:outline w:val="0"/>
          <w:color w:val="222222"/>
          <w:u w:color="222222"/>
          <w:shd w:val="clear" w:color="auto" w:fill="ffffff"/>
          <w:rtl w:val="0"/>
          <w:lang w:val="en-US"/>
          <w14:textFill>
            <w14:solidFill>
              <w14:srgbClr w14:val="222222"/>
            </w14:solidFill>
          </w14:textFill>
        </w:rPr>
        <w:t xml:space="preserve">, </w:t>
      </w:r>
      <w:r>
        <w:rPr>
          <w:rFonts w:ascii="Arial" w:hAnsi="Arial"/>
          <w:i w:val="1"/>
          <w:iCs w:val="1"/>
          <w:outline w:val="0"/>
          <w:color w:val="222222"/>
          <w:u w:color="222222"/>
          <w:shd w:val="clear" w:color="auto" w:fill="ffffff"/>
          <w:rtl w:val="0"/>
          <w:lang w:val="en-US"/>
          <w14:textFill>
            <w14:solidFill>
              <w14:srgbClr w14:val="222222"/>
            </w14:solidFill>
          </w14:textFill>
        </w:rPr>
        <w:t>38</w:t>
      </w:r>
      <w:r>
        <w:rPr>
          <w:rFonts w:ascii="Arial" w:hAnsi="Arial"/>
          <w:outline w:val="0"/>
          <w:color w:val="222222"/>
          <w:u w:color="222222"/>
          <w:shd w:val="clear" w:color="auto" w:fill="ffffff"/>
          <w:rtl w:val="0"/>
          <w:lang w:val="en-US"/>
          <w14:textFill>
            <w14:solidFill>
              <w14:srgbClr w14:val="222222"/>
            </w14:solidFill>
          </w14:textFill>
        </w:rPr>
        <w:t>(1), 113-128.</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 xml:space="preserve">Breyer, J. L., Botzet, A. M., Winters, K. C., Stinchfield, R. D., August, G., &amp; Realmuto, G. (2009). Young adult gambling behaviors and their relationship with the persistence of ADHD. </w:t>
      </w:r>
      <w:r>
        <w:rPr>
          <w:rFonts w:ascii="Arial" w:hAnsi="Arial"/>
          <w:i w:val="1"/>
          <w:iCs w:val="1"/>
          <w:outline w:val="0"/>
          <w:color w:val="222222"/>
          <w:u w:color="222222"/>
          <w:shd w:val="clear" w:color="auto" w:fill="ffffff"/>
          <w:rtl w:val="0"/>
          <w:lang w:val="en-US"/>
          <w14:textFill>
            <w14:solidFill>
              <w14:srgbClr w14:val="222222"/>
            </w14:solidFill>
          </w14:textFill>
        </w:rPr>
        <w:t>Journal of gambling studies</w:t>
      </w:r>
      <w:r>
        <w:rPr>
          <w:rFonts w:ascii="Arial" w:hAnsi="Arial"/>
          <w:outline w:val="0"/>
          <w:color w:val="222222"/>
          <w:u w:color="222222"/>
          <w:shd w:val="clear" w:color="auto" w:fill="ffffff"/>
          <w:rtl w:val="0"/>
          <w:lang w:val="en-US"/>
          <w14:textFill>
            <w14:solidFill>
              <w14:srgbClr w14:val="222222"/>
            </w14:solidFill>
          </w14:textFill>
        </w:rPr>
        <w:t xml:space="preserve">, </w:t>
      </w:r>
      <w:r>
        <w:rPr>
          <w:rFonts w:ascii="Arial" w:hAnsi="Arial"/>
          <w:i w:val="1"/>
          <w:iCs w:val="1"/>
          <w:outline w:val="0"/>
          <w:color w:val="222222"/>
          <w:u w:color="222222"/>
          <w:shd w:val="clear" w:color="auto" w:fill="ffffff"/>
          <w:rtl w:val="0"/>
          <w:lang w:val="en-US"/>
          <w14:textFill>
            <w14:solidFill>
              <w14:srgbClr w14:val="222222"/>
            </w14:solidFill>
          </w14:textFill>
        </w:rPr>
        <w:t>25</w:t>
      </w:r>
      <w:r>
        <w:rPr>
          <w:rFonts w:ascii="Arial" w:hAnsi="Arial"/>
          <w:outline w:val="0"/>
          <w:color w:val="222222"/>
          <w:u w:color="222222"/>
          <w:shd w:val="clear" w:color="auto" w:fill="ffffff"/>
          <w:rtl w:val="0"/>
          <w:lang w:val="en-US"/>
          <w14:textFill>
            <w14:solidFill>
              <w14:srgbClr w14:val="222222"/>
            </w14:solidFill>
          </w14:textFill>
        </w:rPr>
        <w:t>, 227-238.</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pacing w:before="0" w:line="480" w:lineRule="auto"/>
        <w:jc w:val="both"/>
        <w:rPr>
          <w:rFonts w:ascii="Arial" w:cs="Arial" w:hAnsi="Arial" w:eastAsia="Arial"/>
        </w:rPr>
      </w:pPr>
      <w:r>
        <w:rPr>
          <w:rFonts w:ascii="Arial" w:hAnsi="Arial"/>
          <w:rtl w:val="0"/>
          <w:lang w:val="en-US"/>
        </w:rPr>
        <w:t xml:space="preserve">Cecil C, 28th Sept 2023, [ADHD expert webinars] Retrieved from additu.de/webinar, Copyright </w:t>
      </w:r>
      <w:r>
        <w:rPr>
          <w:rFonts w:ascii="Arial" w:hAnsi="Arial" w:hint="default"/>
          <w:rtl w:val="0"/>
          <w:lang w:val="de-DE"/>
        </w:rPr>
        <w:t xml:space="preserve">© </w:t>
      </w:r>
      <w:r>
        <w:rPr>
          <w:rFonts w:ascii="Arial" w:hAnsi="Arial"/>
          <w:rtl w:val="0"/>
          <w:lang w:val="en-US"/>
        </w:rPr>
        <w:t>2023 by ADDitude</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pacing w:before="0" w:line="480" w:lineRule="auto"/>
        <w:jc w:val="both"/>
        <w:rPr>
          <w:rFonts w:ascii="Arial" w:cs="Arial" w:hAnsi="Arial" w:eastAsia="Arial"/>
        </w:rPr>
      </w:pPr>
    </w:p>
    <w:p>
      <w:pPr>
        <w:pStyle w:val="Table Style 2"/>
        <w:spacing w:line="480" w:lineRule="auto"/>
        <w:jc w:val="both"/>
        <w:rPr>
          <w:rFonts w:ascii="Arial" w:cs="Arial" w:hAnsi="Arial" w:eastAsia="Arial"/>
          <w:outline w:val="0"/>
          <w:color w:val="222222"/>
          <w:sz w:val="24"/>
          <w:szCs w:val="24"/>
          <w:u w:color="222222"/>
          <w:shd w:val="clear" w:color="auto" w:fill="ffffff"/>
          <w14:textFill>
            <w14:solidFill>
              <w14:srgbClr w14:val="222222"/>
            </w14:solidFill>
          </w14:textFill>
        </w:rPr>
      </w:pPr>
      <w:r>
        <w:rPr>
          <w:rFonts w:ascii="Arial" w:hAnsi="Arial"/>
          <w:outline w:val="0"/>
          <w:color w:val="222222"/>
          <w:sz w:val="24"/>
          <w:szCs w:val="24"/>
          <w:u w:color="222222"/>
          <w:shd w:val="clear" w:color="auto" w:fill="ffffff"/>
          <w:rtl w:val="0"/>
          <w:lang w:val="en-US"/>
          <w14:textFill>
            <w14:solidFill>
              <w14:srgbClr w14:val="222222"/>
            </w14:solidFill>
          </w14:textFill>
        </w:rPr>
        <w:t xml:space="preserve">Charach, A., Yeung, E., Climans, T., &amp; Lillie, E. (2011). Childhood attention-deficit/hyperactivity disorder and future substance use disorders: comparative meta-analyses. </w:t>
      </w:r>
      <w:r>
        <w:rPr>
          <w:rFonts w:ascii="Arial" w:hAnsi="Arial"/>
          <w:i w:val="1"/>
          <w:iCs w:val="1"/>
          <w:outline w:val="0"/>
          <w:color w:val="222222"/>
          <w:sz w:val="24"/>
          <w:szCs w:val="24"/>
          <w:u w:color="222222"/>
          <w:shd w:val="clear" w:color="auto" w:fill="ffffff"/>
          <w:rtl w:val="0"/>
          <w:lang w:val="en-US"/>
          <w14:textFill>
            <w14:solidFill>
              <w14:srgbClr w14:val="222222"/>
            </w14:solidFill>
          </w14:textFill>
        </w:rPr>
        <w:t>Journal of the American Academy of Child &amp; Adolescent Psychiatry</w:t>
      </w:r>
      <w:r>
        <w:rPr>
          <w:rFonts w:ascii="Arial" w:hAnsi="Arial"/>
          <w:outline w:val="0"/>
          <w:color w:val="222222"/>
          <w:sz w:val="24"/>
          <w:szCs w:val="24"/>
          <w:u w:color="222222"/>
          <w:shd w:val="clear" w:color="auto" w:fill="ffffff"/>
          <w:rtl w:val="0"/>
          <w:lang w:val="en-US"/>
          <w14:textFill>
            <w14:solidFill>
              <w14:srgbClr w14:val="222222"/>
            </w14:solidFill>
          </w14:textFill>
        </w:rPr>
        <w:t xml:space="preserve">, </w:t>
      </w:r>
      <w:r>
        <w:rPr>
          <w:rFonts w:ascii="Arial" w:hAnsi="Arial"/>
          <w:i w:val="1"/>
          <w:iCs w:val="1"/>
          <w:outline w:val="0"/>
          <w:color w:val="222222"/>
          <w:sz w:val="24"/>
          <w:szCs w:val="24"/>
          <w:u w:color="222222"/>
          <w:shd w:val="clear" w:color="auto" w:fill="ffffff"/>
          <w:rtl w:val="0"/>
          <w:lang w:val="en-US"/>
          <w14:textFill>
            <w14:solidFill>
              <w14:srgbClr w14:val="222222"/>
            </w14:solidFill>
          </w14:textFill>
        </w:rPr>
        <w:t>50</w:t>
      </w:r>
      <w:r>
        <w:rPr>
          <w:rFonts w:ascii="Arial" w:hAnsi="Arial"/>
          <w:outline w:val="0"/>
          <w:color w:val="222222"/>
          <w:sz w:val="24"/>
          <w:szCs w:val="24"/>
          <w:u w:color="222222"/>
          <w:shd w:val="clear" w:color="auto" w:fill="ffffff"/>
          <w:rtl w:val="0"/>
          <w:lang w:val="en-US"/>
          <w14:textFill>
            <w14:solidFill>
              <w14:srgbClr w14:val="222222"/>
            </w14:solidFill>
          </w14:textFill>
        </w:rPr>
        <w:t>(1), 9-21.</w:t>
      </w:r>
    </w:p>
    <w:p>
      <w:pPr>
        <w:pStyle w:val="Table Style 2"/>
        <w:spacing w:line="480" w:lineRule="auto"/>
        <w:jc w:val="both"/>
        <w:rPr>
          <w:rFonts w:ascii="Arial" w:cs="Arial" w:hAnsi="Arial" w:eastAsia="Arial"/>
          <w:outline w:val="0"/>
          <w:color w:val="222222"/>
          <w:sz w:val="24"/>
          <w:szCs w:val="24"/>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Fraser, D. (2009).</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The evolution of the British welfare state</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outline w:val="0"/>
          <w:color w:val="222222"/>
          <w:u w:color="222222"/>
          <w:shd w:val="clear" w:color="auto" w:fill="ffffff"/>
          <w:rtl w:val="0"/>
          <w:lang w:val="it-IT"/>
          <w14:textFill>
            <w14:solidFill>
              <w14:srgbClr w14:val="222222"/>
            </w14:solidFill>
          </w14:textFill>
        </w:rPr>
        <w:t>(Vol. 67). New York: Palgrave Macmillan.</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Glass, K., Flory, K., &amp; Hankin, B. L. (2012). Symptoms of ADHD and close friendships in adolescence.</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Journal of attention disorders</w:t>
      </w:r>
      <w:r>
        <w:rPr>
          <w:rFonts w:ascii="Arial" w:hAnsi="Arial"/>
          <w:outline w:val="0"/>
          <w:color w:val="222222"/>
          <w:u w:color="222222"/>
          <w:shd w:val="clear" w:color="auto" w:fill="ffffff"/>
          <w:rtl w:val="0"/>
          <w:lang w:val="en-US"/>
          <w14:textFill>
            <w14:solidFill>
              <w14:srgbClr w14:val="222222"/>
            </w14:solidFill>
          </w14:textFill>
        </w:rPr>
        <w:t>,</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16</w:t>
      </w:r>
      <w:r>
        <w:rPr>
          <w:rFonts w:ascii="Arial" w:hAnsi="Arial"/>
          <w:outline w:val="0"/>
          <w:color w:val="222222"/>
          <w:u w:color="222222"/>
          <w:shd w:val="clear" w:color="auto" w:fill="ffffff"/>
          <w:rtl w:val="0"/>
          <w:lang w:val="en-US"/>
          <w14:textFill>
            <w14:solidFill>
              <w14:srgbClr w14:val="222222"/>
            </w14:solidFill>
          </w14:textFill>
        </w:rPr>
        <w:t>(5), 406-417.</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cs="Arial" w:hAnsi="Arial" w:eastAsia="Arial"/>
          <w:outline w:val="0"/>
          <w:color w:val="333333"/>
          <w:u w:color="333333"/>
          <w:shd w:val="clear" w:color="auto" w:fill="ffffff"/>
          <w:lang w:val="en-US"/>
          <w14:textFill>
            <w14:solidFill>
              <w14:srgbClr w14:val="333333"/>
            </w14:solidFill>
          </w14:textFill>
        </w:rPr>
        <w:br w:type="textWrapping"/>
      </w:r>
      <w:r>
        <w:rPr>
          <w:rFonts w:ascii="Arial" w:hAnsi="Arial"/>
          <w:outline w:val="0"/>
          <w:color w:val="222222"/>
          <w:u w:color="222222"/>
          <w:shd w:val="clear" w:color="auto" w:fill="ffffff"/>
          <w:rtl w:val="0"/>
          <w:lang w:val="en-US"/>
          <w14:textFill>
            <w14:solidFill>
              <w14:srgbClr w14:val="222222"/>
            </w14:solidFill>
          </w14:textFill>
        </w:rPr>
        <w:t>Haegele, J. A., &amp; Hodge, S. (2016). Disability discourse: Overview and critiques of the medical and social models.</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it-IT"/>
          <w14:textFill>
            <w14:solidFill>
              <w14:srgbClr w14:val="222222"/>
            </w14:solidFill>
          </w14:textFill>
        </w:rPr>
        <w:t>Quest</w:t>
      </w:r>
      <w:r>
        <w:rPr>
          <w:rFonts w:ascii="Arial" w:hAnsi="Arial"/>
          <w:outline w:val="0"/>
          <w:color w:val="222222"/>
          <w:u w:color="222222"/>
          <w:shd w:val="clear" w:color="auto" w:fill="ffffff"/>
          <w:rtl w:val="0"/>
          <w:lang w:val="en-US"/>
          <w14:textFill>
            <w14:solidFill>
              <w14:srgbClr w14:val="222222"/>
            </w14:solidFill>
          </w14:textFill>
        </w:rPr>
        <w:t>,</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68</w:t>
      </w:r>
      <w:r>
        <w:rPr>
          <w:rFonts w:ascii="Arial" w:hAnsi="Arial"/>
          <w:outline w:val="0"/>
          <w:color w:val="222222"/>
          <w:u w:color="222222"/>
          <w:shd w:val="clear" w:color="auto" w:fill="ffffff"/>
          <w:rtl w:val="0"/>
          <w:lang w:val="en-US"/>
          <w14:textFill>
            <w14:solidFill>
              <w14:srgbClr w14:val="222222"/>
            </w14:solidFill>
          </w14:textFill>
        </w:rPr>
        <w:t>(2), 193-206.</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333333"/>
          <w:u w:color="333333"/>
          <w:shd w:val="clear" w:color="auto" w:fill="ffffff"/>
          <w14:textFill>
            <w14:solidFill>
              <w14:srgbClr w14:val="333333"/>
            </w14:solidFill>
          </w14:textFill>
        </w:rPr>
      </w:pPr>
      <w:r>
        <w:rPr>
          <w:rFonts w:ascii="Arial" w:hAnsi="Arial"/>
          <w:outline w:val="0"/>
          <w:color w:val="222222"/>
          <w:u w:color="222222"/>
          <w:shd w:val="clear" w:color="auto" w:fill="ffffff"/>
          <w:rtl w:val="0"/>
          <w:lang w:val="en-US"/>
          <w14:textFill>
            <w14:solidFill>
              <w14:srgbClr w14:val="222222"/>
            </w14:solidFill>
          </w14:textFill>
        </w:rPr>
        <w:t>Halperin, J. M., B</w:t>
      </w:r>
      <w:r>
        <w:rPr>
          <w:rFonts w:ascii="Arial" w:hAnsi="Arial" w:hint="default"/>
          <w:outline w:val="0"/>
          <w:color w:val="222222"/>
          <w:u w:color="222222"/>
          <w:shd w:val="clear" w:color="auto" w:fill="ffffff"/>
          <w:rtl w:val="0"/>
          <w:lang w:val="fr-FR"/>
          <w14:textFill>
            <w14:solidFill>
              <w14:srgbClr w14:val="222222"/>
            </w14:solidFill>
          </w14:textFill>
        </w:rPr>
        <w:t>é</w:t>
      </w:r>
      <w:r>
        <w:rPr>
          <w:rFonts w:ascii="Arial" w:hAnsi="Arial"/>
          <w:outline w:val="0"/>
          <w:color w:val="222222"/>
          <w:u w:color="222222"/>
          <w:shd w:val="clear" w:color="auto" w:fill="ffffff"/>
          <w:rtl w:val="0"/>
          <w:lang w:val="en-US"/>
          <w14:textFill>
            <w14:solidFill>
              <w14:srgbClr w14:val="222222"/>
            </w14:solidFill>
          </w14:textFill>
        </w:rPr>
        <w:t>dard, A. C. V., &amp; Curchack-Lichtin, J. T. (2012). Preventive interventions for ADHD: a neurodevelopmental perspective.</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Neurotherapeutics</w:t>
      </w:r>
      <w:r>
        <w:rPr>
          <w:rFonts w:ascii="Arial" w:hAnsi="Arial"/>
          <w:outline w:val="0"/>
          <w:color w:val="222222"/>
          <w:u w:color="222222"/>
          <w:shd w:val="clear" w:color="auto" w:fill="ffffff"/>
          <w:rtl w:val="0"/>
          <w:lang w:val="en-US"/>
          <w14:textFill>
            <w14:solidFill>
              <w14:srgbClr w14:val="222222"/>
            </w14:solidFill>
          </w14:textFill>
        </w:rPr>
        <w:t>,</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9</w:t>
      </w:r>
      <w:r>
        <w:rPr>
          <w:rFonts w:ascii="Arial" w:hAnsi="Arial"/>
          <w:outline w:val="0"/>
          <w:color w:val="222222"/>
          <w:u w:color="222222"/>
          <w:shd w:val="clear" w:color="auto" w:fill="ffffff"/>
          <w:rtl w:val="0"/>
          <w:lang w:val="en-US"/>
          <w14:textFill>
            <w14:solidFill>
              <w14:srgbClr w14:val="222222"/>
            </w14:solidFill>
          </w14:textFill>
        </w:rPr>
        <w:t>, 531-541.</w:t>
      </w:r>
    </w:p>
    <w:p>
      <w:pPr>
        <w:pStyle w:val="Default"/>
        <w:spacing w:before="0" w:line="480" w:lineRule="auto"/>
        <w:jc w:val="both"/>
        <w:rPr>
          <w:rFonts w:ascii="Arial" w:cs="Arial" w:hAnsi="Arial" w:eastAsia="Arial"/>
          <w:u w:color="333333"/>
          <w:shd w:val="clear" w:color="auto" w:fill="ffffff"/>
        </w:rPr>
      </w:pPr>
    </w:p>
    <w:p>
      <w:pPr>
        <w:pStyle w:val="Default"/>
        <w:spacing w:before="0" w:line="480" w:lineRule="auto"/>
        <w:jc w:val="both"/>
        <w:rPr>
          <w:rFonts w:ascii="Arial" w:cs="Arial" w:hAnsi="Arial" w:eastAsia="Arial"/>
        </w:rPr>
      </w:pPr>
      <w:r>
        <w:rPr>
          <w:rFonts w:ascii="Arial" w:hAnsi="Arial"/>
          <w:rtl w:val="0"/>
          <w:lang w:val="en-US"/>
        </w:rPr>
        <w:t>Hassan, S. M., Gimbal, C., Morasae, E. K., Rotheram, C., Mathieson, V., Ward, D., ... &amp; Kullu, C. (2020). Social prescribing for people with mental health needs living in disadvantaged communities: the life rooms model.</w:t>
      </w:r>
      <w:r>
        <w:rPr>
          <w:rFonts w:ascii="Arial" w:hAnsi="Arial" w:hint="default"/>
          <w:rtl w:val="0"/>
          <w:lang w:val="en-US"/>
        </w:rPr>
        <w:t> </w:t>
      </w:r>
      <w:r>
        <w:rPr>
          <w:rFonts w:ascii="Arial" w:hAnsi="Arial"/>
          <w:i w:val="1"/>
          <w:iCs w:val="1"/>
          <w:rtl w:val="0"/>
          <w:lang w:val="en-US"/>
        </w:rPr>
        <w:t>BMC health services research</w:t>
      </w:r>
      <w:r>
        <w:rPr>
          <w:rFonts w:ascii="Arial" w:hAnsi="Arial"/>
          <w:rtl w:val="0"/>
          <w:lang w:val="en-US"/>
        </w:rPr>
        <w:t>,</w:t>
      </w:r>
      <w:r>
        <w:rPr>
          <w:rFonts w:ascii="Arial" w:hAnsi="Arial" w:hint="default"/>
          <w:rtl w:val="0"/>
          <w:lang w:val="en-US"/>
        </w:rPr>
        <w:t> </w:t>
      </w:r>
      <w:r>
        <w:rPr>
          <w:rFonts w:ascii="Arial" w:hAnsi="Arial"/>
          <w:i w:val="1"/>
          <w:iCs w:val="1"/>
          <w:rtl w:val="0"/>
          <w:lang w:val="en-US"/>
        </w:rPr>
        <w:t>20</w:t>
      </w:r>
      <w:r>
        <w:rPr>
          <w:rFonts w:ascii="Arial" w:hAnsi="Arial"/>
          <w:rtl w:val="0"/>
          <w:lang w:val="en-US"/>
        </w:rPr>
        <w:t>(1), 1-9.</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 xml:space="preserve">Horwitz, A. V., &amp; Grob, G. N. (2016). The troubled history of psychiatry's quest for specificity. </w:t>
      </w:r>
      <w:r>
        <w:rPr>
          <w:rFonts w:ascii="Arial" w:hAnsi="Arial"/>
          <w:i w:val="1"/>
          <w:iCs w:val="1"/>
          <w:outline w:val="0"/>
          <w:color w:val="222222"/>
          <w:u w:color="222222"/>
          <w:shd w:val="clear" w:color="auto" w:fill="ffffff"/>
          <w:rtl w:val="0"/>
          <w:lang w:val="en-US"/>
          <w14:textFill>
            <w14:solidFill>
              <w14:srgbClr w14:val="222222"/>
            </w14:solidFill>
          </w14:textFill>
        </w:rPr>
        <w:t>Journal of Health Politics, Policy and Law</w:t>
      </w:r>
      <w:r>
        <w:rPr>
          <w:rFonts w:ascii="Arial" w:hAnsi="Arial"/>
          <w:outline w:val="0"/>
          <w:color w:val="222222"/>
          <w:u w:color="222222"/>
          <w:shd w:val="clear" w:color="auto" w:fill="ffffff"/>
          <w:rtl w:val="0"/>
          <w:lang w:val="en-US"/>
          <w14:textFill>
            <w14:solidFill>
              <w14:srgbClr w14:val="222222"/>
            </w14:solidFill>
          </w14:textFill>
        </w:rPr>
        <w:t xml:space="preserve">, </w:t>
      </w:r>
      <w:r>
        <w:rPr>
          <w:rFonts w:ascii="Arial" w:hAnsi="Arial"/>
          <w:i w:val="1"/>
          <w:iCs w:val="1"/>
          <w:outline w:val="0"/>
          <w:color w:val="222222"/>
          <w:u w:color="222222"/>
          <w:shd w:val="clear" w:color="auto" w:fill="ffffff"/>
          <w:rtl w:val="0"/>
          <w:lang w:val="en-US"/>
          <w14:textFill>
            <w14:solidFill>
              <w14:srgbClr w14:val="222222"/>
            </w14:solidFill>
          </w14:textFill>
        </w:rPr>
        <w:t>41</w:t>
      </w:r>
      <w:r>
        <w:rPr>
          <w:rFonts w:ascii="Arial" w:hAnsi="Arial"/>
          <w:outline w:val="0"/>
          <w:color w:val="222222"/>
          <w:u w:color="222222"/>
          <w:shd w:val="clear" w:color="auto" w:fill="ffffff"/>
          <w:rtl w:val="0"/>
          <w:lang w:val="en-US"/>
          <w14:textFill>
            <w14:solidFill>
              <w14:srgbClr w14:val="222222"/>
            </w14:solidFill>
          </w14:textFill>
        </w:rPr>
        <w:t>(4), 521-539</w:t>
      </w:r>
    </w:p>
    <w:p>
      <w:pPr>
        <w:pStyle w:val="Default"/>
        <w:spacing w:before="0" w:line="480" w:lineRule="auto"/>
        <w:jc w:val="both"/>
        <w:rPr>
          <w:rFonts w:ascii="Arial" w:cs="Arial" w:hAnsi="Arial" w:eastAsia="Arial"/>
          <w:outline w:val="0"/>
          <w:color w:val="222222"/>
          <w:u w:color="222222"/>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 xml:space="preserve">Kollins, S. H., McClernon, F. J., &amp; Fuemmeler, B. F. (2005). Association between smoking and attention-deficit/hyperactivity disorder symptoms in a population-based sample of young adults. </w:t>
      </w:r>
      <w:r>
        <w:rPr>
          <w:rFonts w:ascii="Arial" w:hAnsi="Arial"/>
          <w:i w:val="1"/>
          <w:iCs w:val="1"/>
          <w:outline w:val="0"/>
          <w:color w:val="222222"/>
          <w:u w:color="222222"/>
          <w:shd w:val="clear" w:color="auto" w:fill="ffffff"/>
          <w:rtl w:val="0"/>
          <w:lang w:val="en-US"/>
          <w14:textFill>
            <w14:solidFill>
              <w14:srgbClr w14:val="222222"/>
            </w14:solidFill>
          </w14:textFill>
        </w:rPr>
        <w:t>Archives of general psychiatry</w:t>
      </w:r>
      <w:r>
        <w:rPr>
          <w:rFonts w:ascii="Arial" w:hAnsi="Arial"/>
          <w:outline w:val="0"/>
          <w:color w:val="222222"/>
          <w:u w:color="222222"/>
          <w:shd w:val="clear" w:color="auto" w:fill="ffffff"/>
          <w:rtl w:val="0"/>
          <w:lang w:val="en-US"/>
          <w14:textFill>
            <w14:solidFill>
              <w14:srgbClr w14:val="222222"/>
            </w14:solidFill>
          </w14:textFill>
        </w:rPr>
        <w:t xml:space="preserve">, </w:t>
      </w:r>
      <w:r>
        <w:rPr>
          <w:rFonts w:ascii="Arial" w:hAnsi="Arial"/>
          <w:i w:val="1"/>
          <w:iCs w:val="1"/>
          <w:outline w:val="0"/>
          <w:color w:val="222222"/>
          <w:u w:color="222222"/>
          <w:shd w:val="clear" w:color="auto" w:fill="ffffff"/>
          <w:rtl w:val="0"/>
          <w:lang w:val="en-US"/>
          <w14:textFill>
            <w14:solidFill>
              <w14:srgbClr w14:val="222222"/>
            </w14:solidFill>
          </w14:textFill>
        </w:rPr>
        <w:t>62</w:t>
      </w:r>
      <w:r>
        <w:rPr>
          <w:rFonts w:ascii="Arial" w:hAnsi="Arial"/>
          <w:outline w:val="0"/>
          <w:color w:val="222222"/>
          <w:u w:color="222222"/>
          <w:shd w:val="clear" w:color="auto" w:fill="ffffff"/>
          <w:rtl w:val="0"/>
          <w:lang w:val="en-US"/>
          <w14:textFill>
            <w14:solidFill>
              <w14:srgbClr w14:val="222222"/>
            </w14:solidFill>
          </w14:textFill>
        </w:rPr>
        <w:t>(10), 1142-1147.</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Lerner, D. A. (2016). Behavioral disinhibition and nascent venturing: Relevance and initial effects on potential resource providers.</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Journal of Business Venturing</w:t>
      </w:r>
      <w:r>
        <w:rPr>
          <w:rFonts w:ascii="Arial" w:hAnsi="Arial"/>
          <w:outline w:val="0"/>
          <w:color w:val="222222"/>
          <w:u w:color="222222"/>
          <w:shd w:val="clear" w:color="auto" w:fill="ffffff"/>
          <w:rtl w:val="0"/>
          <w:lang w:val="en-US"/>
          <w14:textFill>
            <w14:solidFill>
              <w14:srgbClr w14:val="222222"/>
            </w14:solidFill>
          </w14:textFill>
        </w:rPr>
        <w:t>,</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31</w:t>
      </w:r>
      <w:r>
        <w:rPr>
          <w:rFonts w:ascii="Arial" w:hAnsi="Arial"/>
          <w:outline w:val="0"/>
          <w:color w:val="222222"/>
          <w:u w:color="222222"/>
          <w:shd w:val="clear" w:color="auto" w:fill="ffffff"/>
          <w:rtl w:val="0"/>
          <w:lang w:val="en-US"/>
          <w14:textFill>
            <w14:solidFill>
              <w14:srgbClr w14:val="222222"/>
            </w14:solidFill>
          </w14:textFill>
        </w:rPr>
        <w:t>(2), 234-252.</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 xml:space="preserve">Lerner, R. M., &amp; Overton, W. F. (2017). Reduction to absurdity: Why epigenetics invalidates all models involving genetic reduction. </w:t>
      </w:r>
      <w:r>
        <w:rPr>
          <w:rFonts w:ascii="Arial" w:hAnsi="Arial"/>
          <w:i w:val="1"/>
          <w:iCs w:val="1"/>
          <w:outline w:val="0"/>
          <w:color w:val="222222"/>
          <w:u w:color="222222"/>
          <w:shd w:val="clear" w:color="auto" w:fill="ffffff"/>
          <w:rtl w:val="0"/>
          <w:lang w:val="en-US"/>
          <w14:textFill>
            <w14:solidFill>
              <w14:srgbClr w14:val="222222"/>
            </w14:solidFill>
          </w14:textFill>
        </w:rPr>
        <w:t>Human Development</w:t>
      </w:r>
      <w:r>
        <w:rPr>
          <w:rFonts w:ascii="Arial" w:hAnsi="Arial"/>
          <w:outline w:val="0"/>
          <w:color w:val="222222"/>
          <w:u w:color="222222"/>
          <w:shd w:val="clear" w:color="auto" w:fill="ffffff"/>
          <w:rtl w:val="0"/>
          <w:lang w:val="en-US"/>
          <w14:textFill>
            <w14:solidFill>
              <w14:srgbClr w14:val="222222"/>
            </w14:solidFill>
          </w14:textFill>
        </w:rPr>
        <w:t xml:space="preserve">, </w:t>
      </w:r>
      <w:r>
        <w:rPr>
          <w:rFonts w:ascii="Arial" w:hAnsi="Arial"/>
          <w:i w:val="1"/>
          <w:iCs w:val="1"/>
          <w:outline w:val="0"/>
          <w:color w:val="222222"/>
          <w:u w:color="222222"/>
          <w:shd w:val="clear" w:color="auto" w:fill="ffffff"/>
          <w:rtl w:val="0"/>
          <w:lang w:val="en-US"/>
          <w14:textFill>
            <w14:solidFill>
              <w14:srgbClr w14:val="222222"/>
            </w14:solidFill>
          </w14:textFill>
        </w:rPr>
        <w:t>60</w:t>
      </w:r>
      <w:r>
        <w:rPr>
          <w:rFonts w:ascii="Arial" w:hAnsi="Arial"/>
          <w:outline w:val="0"/>
          <w:color w:val="222222"/>
          <w:u w:color="222222"/>
          <w:shd w:val="clear" w:color="auto" w:fill="ffffff"/>
          <w:rtl w:val="0"/>
          <w:lang w:val="en-US"/>
          <w14:textFill>
            <w14:solidFill>
              <w14:srgbClr w14:val="222222"/>
            </w14:solidFill>
          </w14:textFill>
        </w:rPr>
        <w:t>(2-3), 107-123</w:t>
      </w:r>
    </w:p>
    <w:p>
      <w:pPr>
        <w:pStyle w:val="Default"/>
        <w:spacing w:before="0" w:line="480" w:lineRule="auto"/>
        <w:jc w:val="both"/>
        <w:rPr>
          <w:outline w:val="0"/>
          <w:color w:val="222222"/>
          <w:sz w:val="22"/>
          <w:szCs w:val="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sz w:val="22"/>
          <w:szCs w:val="22"/>
        </w:rPr>
      </w:pPr>
      <w:r>
        <w:rPr>
          <w:rFonts w:ascii="Arial" w:hAnsi="Arial"/>
          <w:sz w:val="22"/>
          <w:szCs w:val="22"/>
          <w:rtl w:val="0"/>
          <w:lang w:val="en-US"/>
        </w:rPr>
        <w:t>Lewis, T. (2010). Proving disability and reasonable adjustments.</w:t>
      </w:r>
      <w:r>
        <w:rPr>
          <w:rFonts w:ascii="Arial" w:hAnsi="Arial" w:hint="default"/>
          <w:sz w:val="22"/>
          <w:szCs w:val="22"/>
          <w:rtl w:val="0"/>
          <w:lang w:val="en-US"/>
        </w:rPr>
        <w:t> </w:t>
      </w:r>
      <w:r>
        <w:rPr>
          <w:rFonts w:ascii="Arial" w:hAnsi="Arial"/>
          <w:i w:val="1"/>
          <w:iCs w:val="1"/>
          <w:sz w:val="22"/>
          <w:szCs w:val="22"/>
          <w:rtl w:val="0"/>
          <w:lang w:val="en-US"/>
        </w:rPr>
        <w:t>A worker</w:t>
      </w:r>
      <w:r>
        <w:rPr>
          <w:rFonts w:ascii="Arial Unicode MS" w:hAnsi="Arial Unicode MS" w:hint="default"/>
          <w:sz w:val="22"/>
          <w:szCs w:val="22"/>
          <w:rtl w:val="0"/>
          <w:lang w:val="en-US"/>
        </w:rPr>
        <w:t>’</w:t>
      </w:r>
      <w:r>
        <w:rPr>
          <w:rFonts w:ascii="Arial" w:hAnsi="Arial"/>
          <w:i w:val="1"/>
          <w:iCs w:val="1"/>
          <w:sz w:val="22"/>
          <w:szCs w:val="22"/>
          <w:rtl w:val="0"/>
          <w:lang w:val="en-US"/>
        </w:rPr>
        <w:t>s guide to evidence under the Equality Act</w:t>
      </w:r>
      <w:r>
        <w:rPr>
          <w:rFonts w:ascii="Arial" w:hAnsi="Arial"/>
          <w:sz w:val="22"/>
          <w:szCs w:val="22"/>
          <w:rtl w:val="0"/>
          <w:lang w:val="en-US"/>
        </w:rPr>
        <w:t>.</w:t>
      </w:r>
    </w:p>
    <w:p>
      <w:pPr>
        <w:pStyle w:val="Default"/>
        <w:spacing w:before="0" w:line="480" w:lineRule="auto"/>
        <w:jc w:val="both"/>
        <w:rPr>
          <w:sz w:val="22"/>
          <w:szCs w:val="22"/>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Mayes, R., &amp; Horwitz, A. V. (2005). DSM</w:t>
      </w:r>
      <w:r>
        <w:rPr>
          <w:rFonts w:ascii="Arial" w:hAnsi="Arial" w:hint="default"/>
          <w:outline w:val="0"/>
          <w:color w:val="222222"/>
          <w:u w:color="222222"/>
          <w:shd w:val="clear" w:color="auto" w:fill="ffffff"/>
          <w:rtl w:val="0"/>
          <w:lang w:val="en-US"/>
          <w14:textFill>
            <w14:solidFill>
              <w14:srgbClr w14:val="222222"/>
            </w14:solidFill>
          </w14:textFill>
        </w:rPr>
        <w:t>‐</w:t>
      </w:r>
      <w:r>
        <w:rPr>
          <w:rFonts w:ascii="Arial" w:hAnsi="Arial"/>
          <w:outline w:val="0"/>
          <w:color w:val="222222"/>
          <w:u w:color="222222"/>
          <w:shd w:val="clear" w:color="auto" w:fill="ffffff"/>
          <w:rtl w:val="0"/>
          <w:lang w:val="en-US"/>
          <w14:textFill>
            <w14:solidFill>
              <w14:srgbClr w14:val="222222"/>
            </w14:solidFill>
          </w14:textFill>
        </w:rPr>
        <w:t xml:space="preserve">III and the revolution in the classification of mental illness. </w:t>
      </w:r>
      <w:r>
        <w:rPr>
          <w:rFonts w:ascii="Arial" w:hAnsi="Arial"/>
          <w:i w:val="1"/>
          <w:iCs w:val="1"/>
          <w:outline w:val="0"/>
          <w:color w:val="222222"/>
          <w:u w:color="222222"/>
          <w:shd w:val="clear" w:color="auto" w:fill="ffffff"/>
          <w:rtl w:val="0"/>
          <w:lang w:val="en-US"/>
          <w14:textFill>
            <w14:solidFill>
              <w14:srgbClr w14:val="222222"/>
            </w14:solidFill>
          </w14:textFill>
        </w:rPr>
        <w:t>Journal of the History of the Behavioral Sciences</w:t>
      </w:r>
      <w:r>
        <w:rPr>
          <w:rFonts w:ascii="Arial" w:hAnsi="Arial"/>
          <w:outline w:val="0"/>
          <w:color w:val="222222"/>
          <w:u w:color="222222"/>
          <w:shd w:val="clear" w:color="auto" w:fill="ffffff"/>
          <w:rtl w:val="0"/>
          <w:lang w:val="en-US"/>
          <w14:textFill>
            <w14:solidFill>
              <w14:srgbClr w14:val="222222"/>
            </w14:solidFill>
          </w14:textFill>
        </w:rPr>
        <w:t xml:space="preserve">, </w:t>
      </w:r>
      <w:r>
        <w:rPr>
          <w:rFonts w:ascii="Arial" w:hAnsi="Arial"/>
          <w:i w:val="1"/>
          <w:iCs w:val="1"/>
          <w:outline w:val="0"/>
          <w:color w:val="222222"/>
          <w:u w:color="222222"/>
          <w:shd w:val="clear" w:color="auto" w:fill="ffffff"/>
          <w:rtl w:val="0"/>
          <w:lang w:val="en-US"/>
          <w14:textFill>
            <w14:solidFill>
              <w14:srgbClr w14:val="222222"/>
            </w14:solidFill>
          </w14:textFill>
        </w:rPr>
        <w:t>41</w:t>
      </w:r>
      <w:r>
        <w:rPr>
          <w:rFonts w:ascii="Arial" w:hAnsi="Arial"/>
          <w:outline w:val="0"/>
          <w:color w:val="222222"/>
          <w:u w:color="222222"/>
          <w:shd w:val="clear" w:color="auto" w:fill="ffffff"/>
          <w:rtl w:val="0"/>
          <w:lang w:val="en-US"/>
          <w14:textFill>
            <w14:solidFill>
              <w14:srgbClr w14:val="222222"/>
            </w14:solidFill>
          </w14:textFill>
        </w:rPr>
        <w:t>(3), 249-267.</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12121"/>
          <w:u w:color="212121"/>
          <w:shd w:val="clear" w:color="auto" w:fill="ffffff"/>
          <w14:textFill>
            <w14:solidFill>
              <w14:srgbClr w14:val="212121"/>
            </w14:solidFill>
          </w14:textFill>
        </w:rPr>
      </w:pPr>
      <w:r>
        <w:rPr>
          <w:rFonts w:ascii="Arial" w:hAnsi="Arial"/>
          <w:outline w:val="0"/>
          <w:color w:val="212121"/>
          <w:u w:color="212121"/>
          <w:shd w:val="clear" w:color="auto" w:fill="ffffff"/>
          <w:rtl w:val="0"/>
          <w:lang w:val="en-US"/>
          <w14:textFill>
            <w14:solidFill>
              <w14:srgbClr w14:val="212121"/>
            </w14:solidFill>
          </w14:textFill>
        </w:rPr>
        <w:t xml:space="preserve">Mills S. The scientific integrity of ADHD: A critical examination of the underpinning theoretical constructs. </w:t>
      </w:r>
      <w:r>
        <w:rPr>
          <w:rFonts w:ascii="Arial" w:hAnsi="Arial"/>
          <w:i w:val="1"/>
          <w:iCs w:val="1"/>
          <w:outline w:val="0"/>
          <w:color w:val="212121"/>
          <w:u w:color="212121"/>
          <w:shd w:val="clear" w:color="auto" w:fill="ffffff"/>
          <w:rtl w:val="0"/>
          <w:lang w:val="en-US"/>
          <w14:textFill>
            <w14:solidFill>
              <w14:srgbClr w14:val="212121"/>
            </w14:solidFill>
          </w14:textFill>
        </w:rPr>
        <w:t xml:space="preserve">Front Psychiatry. </w:t>
      </w:r>
      <w:r>
        <w:rPr>
          <w:rFonts w:ascii="Arial" w:hAnsi="Arial"/>
          <w:outline w:val="0"/>
          <w:color w:val="212121"/>
          <w:u w:color="212121"/>
          <w:shd w:val="clear" w:color="auto" w:fill="ffffff"/>
          <w:rtl w:val="0"/>
          <w:lang w:val="en-US"/>
          <w14:textFill>
            <w14:solidFill>
              <w14:srgbClr w14:val="212121"/>
            </w14:solidFill>
          </w14:textFill>
        </w:rPr>
        <w:t>2022 Dec 21;13:1062484. doi: 10.3389/fpsyt.2022.1062484. PMID: 36620696; PMCID: PMC9811381.</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 xml:space="preserve">Nigg, J. T. (2013). Attention-deficit/hyperactivity disorder and adverse health outcomes. </w:t>
      </w:r>
      <w:r>
        <w:rPr>
          <w:rFonts w:ascii="Arial" w:hAnsi="Arial"/>
          <w:i w:val="1"/>
          <w:iCs w:val="1"/>
          <w:outline w:val="0"/>
          <w:color w:val="222222"/>
          <w:u w:color="222222"/>
          <w:shd w:val="clear" w:color="auto" w:fill="ffffff"/>
          <w:rtl w:val="0"/>
          <w:lang w:val="en-US"/>
          <w14:textFill>
            <w14:solidFill>
              <w14:srgbClr w14:val="222222"/>
            </w14:solidFill>
          </w14:textFill>
        </w:rPr>
        <w:t>Clinical psychology review</w:t>
      </w:r>
      <w:r>
        <w:rPr>
          <w:rFonts w:ascii="Arial" w:hAnsi="Arial"/>
          <w:outline w:val="0"/>
          <w:color w:val="222222"/>
          <w:u w:color="222222"/>
          <w:shd w:val="clear" w:color="auto" w:fill="ffffff"/>
          <w:rtl w:val="0"/>
          <w:lang w:val="en-US"/>
          <w14:textFill>
            <w14:solidFill>
              <w14:srgbClr w14:val="222222"/>
            </w14:solidFill>
          </w14:textFill>
        </w:rPr>
        <w:t xml:space="preserve">, </w:t>
      </w:r>
      <w:r>
        <w:rPr>
          <w:rFonts w:ascii="Arial" w:hAnsi="Arial"/>
          <w:i w:val="1"/>
          <w:iCs w:val="1"/>
          <w:outline w:val="0"/>
          <w:color w:val="222222"/>
          <w:u w:color="222222"/>
          <w:shd w:val="clear" w:color="auto" w:fill="ffffff"/>
          <w:rtl w:val="0"/>
          <w:lang w:val="en-US"/>
          <w14:textFill>
            <w14:solidFill>
              <w14:srgbClr w14:val="222222"/>
            </w14:solidFill>
          </w14:textFill>
        </w:rPr>
        <w:t>33</w:t>
      </w:r>
      <w:r>
        <w:rPr>
          <w:rFonts w:ascii="Arial" w:hAnsi="Arial"/>
          <w:outline w:val="0"/>
          <w:color w:val="222222"/>
          <w:u w:color="222222"/>
          <w:shd w:val="clear" w:color="auto" w:fill="ffffff"/>
          <w:rtl w:val="0"/>
          <w:lang w:val="en-US"/>
          <w14:textFill>
            <w14:solidFill>
              <w14:srgbClr w14:val="222222"/>
            </w14:solidFill>
          </w14:textFill>
        </w:rPr>
        <w:t>(2), 215-228.</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sz w:val="36"/>
          <w:szCs w:val="36"/>
          <w:shd w:val="clear" w:color="auto" w:fill="ffffff"/>
        </w:rPr>
      </w:pPr>
      <w:r>
        <w:rPr>
          <w:rFonts w:ascii="Arial" w:hAnsi="Arial"/>
          <w:rtl w:val="0"/>
          <w:lang w:val="en-US"/>
        </w:rPr>
        <w:t>NICE National Institute for Health Care and Excellence, Attention deficit hyperactivity disorder: diagnosis and management. Published:</w:t>
      </w:r>
      <w:r>
        <w:rPr>
          <w:rFonts w:ascii="Arial" w:hAnsi="Arial" w:hint="default"/>
          <w:rtl w:val="0"/>
          <w:lang w:val="en-US"/>
        </w:rPr>
        <w:t> </w:t>
      </w:r>
      <w:r>
        <w:rPr>
          <w:rFonts w:ascii="Arial" w:hAnsi="Arial"/>
          <w:rtl w:val="0"/>
          <w:lang w:val="en-US"/>
        </w:rPr>
        <w:t>14 March 2018</w:t>
      </w:r>
      <w:r>
        <w:rPr>
          <w:rFonts w:ascii="Arial" w:hAnsi="Arial" w:hint="default"/>
          <w:rtl w:val="0"/>
          <w:lang w:val="en-US"/>
        </w:rPr>
        <w:t> </w:t>
      </w:r>
      <w:r>
        <w:rPr>
          <w:rFonts w:ascii="Arial" w:hAnsi="Arial"/>
          <w:rtl w:val="0"/>
          <w:lang w:val="en-US"/>
        </w:rPr>
        <w:t>Last updated:</w:t>
      </w:r>
      <w:r>
        <w:rPr>
          <w:rFonts w:ascii="Arial" w:hAnsi="Arial" w:hint="default"/>
          <w:rtl w:val="0"/>
          <w:lang w:val="en-US"/>
        </w:rPr>
        <w:t> </w:t>
      </w:r>
      <w:r>
        <w:rPr>
          <w:rFonts w:ascii="Arial" w:hAnsi="Arial"/>
          <w:rtl w:val="0"/>
          <w:lang w:val="en-US"/>
        </w:rPr>
        <w:t>13 September 2019 [accessed 20/11/2023]</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rPr>
      </w:pPr>
      <w:r>
        <w:rPr>
          <w:rFonts w:ascii="Arial" w:hAnsi="Arial"/>
          <w:outline w:val="0"/>
          <w:color w:val="222222"/>
          <w:u w:color="222222"/>
          <w:shd w:val="clear" w:color="auto" w:fill="ffffff"/>
          <w:rtl w:val="0"/>
          <w:lang w:val="en-US"/>
          <w14:textFill>
            <w14:solidFill>
              <w14:srgbClr w14:val="222222"/>
            </w14:solidFill>
          </w14:textFill>
        </w:rPr>
        <w:t>Roush, S. E., &amp; Sharby, N. (2011). Disability reconsidered: the paradox of physical therapy.</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Physical therapy</w:t>
      </w:r>
      <w:r>
        <w:rPr>
          <w:rFonts w:ascii="Arial" w:hAnsi="Arial"/>
          <w:outline w:val="0"/>
          <w:color w:val="222222"/>
          <w:u w:color="222222"/>
          <w:shd w:val="clear" w:color="auto" w:fill="ffffff"/>
          <w:rtl w:val="0"/>
          <w:lang w:val="en-US"/>
          <w14:textFill>
            <w14:solidFill>
              <w14:srgbClr w14:val="222222"/>
            </w14:solidFill>
          </w14:textFill>
        </w:rPr>
        <w:t>,</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91</w:t>
      </w:r>
      <w:r>
        <w:rPr>
          <w:rFonts w:ascii="Arial" w:hAnsi="Arial"/>
          <w:outline w:val="0"/>
          <w:color w:val="222222"/>
          <w:u w:color="222222"/>
          <w:shd w:val="clear" w:color="auto" w:fill="ffffff"/>
          <w:rtl w:val="0"/>
          <w:lang w:val="en-US"/>
          <w14:textFill>
            <w14:solidFill>
              <w14:srgbClr w14:val="222222"/>
            </w14:solidFill>
          </w14:textFill>
        </w:rPr>
        <w:t>(12), 1715-1727.</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it-IT"/>
          <w14:textFill>
            <w14:solidFill>
              <w14:srgbClr w14:val="222222"/>
            </w14:solidFill>
          </w14:textFill>
        </w:rPr>
        <w:t>Rovai, L., Maremmani, A. G., Rugani, F., Bacciardi, S., Pacini, M., &amp; Dell</w:t>
      </w:r>
      <w:r>
        <w:rPr>
          <w:rFonts w:ascii="Arial" w:hAnsi="Arial" w:hint="default"/>
          <w:outline w:val="0"/>
          <w:color w:val="222222"/>
          <w:u w:color="222222"/>
          <w:shd w:val="clear" w:color="auto" w:fill="ffffff"/>
          <w:rtl w:val="0"/>
          <w:lang w:val="en-US"/>
          <w14:textFill>
            <w14:solidFill>
              <w14:srgbClr w14:val="222222"/>
            </w14:solidFill>
          </w14:textFill>
        </w:rPr>
        <w:t>’</w:t>
      </w:r>
      <w:r>
        <w:rPr>
          <w:rFonts w:ascii="Arial" w:hAnsi="Arial"/>
          <w:outline w:val="0"/>
          <w:color w:val="222222"/>
          <w:u w:color="222222"/>
          <w:shd w:val="clear" w:color="auto" w:fill="ffffff"/>
          <w:rtl w:val="0"/>
          <w:lang w:val="en-US"/>
          <w14:textFill>
            <w14:solidFill>
              <w14:srgbClr w14:val="222222"/>
            </w14:solidFill>
          </w14:textFill>
        </w:rPr>
        <w:t>Osso, L. (2013). Do Akiskal &amp; Mallya</w:t>
      </w:r>
      <w:r>
        <w:rPr>
          <w:rFonts w:ascii="Arial" w:hAnsi="Arial" w:hint="default"/>
          <w:outline w:val="0"/>
          <w:color w:val="222222"/>
          <w:u w:color="222222"/>
          <w:shd w:val="clear" w:color="auto" w:fill="ffffff"/>
          <w:rtl w:val="0"/>
          <w:lang w:val="en-US"/>
          <w14:textFill>
            <w14:solidFill>
              <w14:srgbClr w14:val="222222"/>
            </w14:solidFill>
          </w14:textFill>
        </w:rPr>
        <w:t>’</w:t>
      </w:r>
      <w:r>
        <w:rPr>
          <w:rFonts w:ascii="Arial" w:hAnsi="Arial"/>
          <w:outline w:val="0"/>
          <w:color w:val="222222"/>
          <w:u w:color="222222"/>
          <w:shd w:val="clear" w:color="auto" w:fill="ffffff"/>
          <w:rtl w:val="0"/>
          <w:lang w:val="en-US"/>
          <w14:textFill>
            <w14:solidFill>
              <w14:srgbClr w14:val="222222"/>
            </w14:solidFill>
          </w14:textFill>
        </w:rPr>
        <w:t>s affective temperaments belong to the domain of pathology or to that of normality.</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Eur Rev Med Pharmacol Sci</w:t>
      </w:r>
      <w:r>
        <w:rPr>
          <w:rFonts w:ascii="Arial" w:hAnsi="Arial"/>
          <w:outline w:val="0"/>
          <w:color w:val="222222"/>
          <w:u w:color="222222"/>
          <w:shd w:val="clear" w:color="auto" w:fill="ffffff"/>
          <w:rtl w:val="0"/>
          <w:lang w:val="en-US"/>
          <w14:textFill>
            <w14:solidFill>
              <w14:srgbClr w14:val="222222"/>
            </w14:solidFill>
          </w14:textFill>
        </w:rPr>
        <w:t>,</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17</w:t>
      </w:r>
      <w:r>
        <w:rPr>
          <w:rFonts w:ascii="Arial" w:hAnsi="Arial"/>
          <w:outline w:val="0"/>
          <w:color w:val="222222"/>
          <w:u w:color="222222"/>
          <w:shd w:val="clear" w:color="auto" w:fill="ffffff"/>
          <w:rtl w:val="0"/>
          <w:lang w:val="en-US"/>
          <w14:textFill>
            <w14:solidFill>
              <w14:srgbClr w14:val="222222"/>
            </w14:solidFill>
          </w14:textFill>
        </w:rPr>
        <w:t>(15), 2065-2079.</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Table Style 2"/>
        <w:spacing w:line="480" w:lineRule="auto"/>
        <w:jc w:val="both"/>
        <w:rPr>
          <w:rFonts w:ascii="Arial" w:cs="Arial" w:hAnsi="Arial" w:eastAsia="Arial"/>
          <w:outline w:val="0"/>
          <w:color w:val="222222"/>
          <w:sz w:val="24"/>
          <w:szCs w:val="24"/>
          <w:u w:color="222222"/>
          <w:shd w:val="clear" w:color="auto" w:fill="ffffff"/>
          <w14:textFill>
            <w14:solidFill>
              <w14:srgbClr w14:val="222222"/>
            </w14:solidFill>
          </w14:textFill>
        </w:rPr>
      </w:pPr>
      <w:r>
        <w:rPr>
          <w:rFonts w:ascii="Arial" w:hAnsi="Arial"/>
          <w:outline w:val="0"/>
          <w:color w:val="222222"/>
          <w:sz w:val="24"/>
          <w:szCs w:val="24"/>
          <w:u w:color="222222"/>
          <w:shd w:val="clear" w:color="auto" w:fill="ffffff"/>
          <w:rtl w:val="0"/>
          <w:lang w:val="en-US"/>
          <w14:textFill>
            <w14:solidFill>
              <w14:srgbClr w14:val="222222"/>
            </w14:solidFill>
          </w14:textFill>
        </w:rPr>
        <w:t xml:space="preserve">Sarver, D. E., McCart, M. R., Sheidow, A. J., &amp; Letourneau, E. J. (2014). ADHD and risky sexual behavior in adolescents: Conduct problems and substance use as mediators of risk. </w:t>
      </w:r>
      <w:r>
        <w:rPr>
          <w:rFonts w:ascii="Arial" w:hAnsi="Arial"/>
          <w:i w:val="1"/>
          <w:iCs w:val="1"/>
          <w:outline w:val="0"/>
          <w:color w:val="222222"/>
          <w:sz w:val="24"/>
          <w:szCs w:val="24"/>
          <w:u w:color="222222"/>
          <w:shd w:val="clear" w:color="auto" w:fill="ffffff"/>
          <w:rtl w:val="0"/>
          <w:lang w:val="en-US"/>
          <w14:textFill>
            <w14:solidFill>
              <w14:srgbClr w14:val="222222"/>
            </w14:solidFill>
          </w14:textFill>
        </w:rPr>
        <w:t>Journal of Child Psychology and Psychiatry</w:t>
      </w:r>
      <w:r>
        <w:rPr>
          <w:rFonts w:ascii="Arial" w:hAnsi="Arial"/>
          <w:outline w:val="0"/>
          <w:color w:val="222222"/>
          <w:sz w:val="24"/>
          <w:szCs w:val="24"/>
          <w:u w:color="222222"/>
          <w:shd w:val="clear" w:color="auto" w:fill="ffffff"/>
          <w:rtl w:val="0"/>
          <w:lang w:val="en-US"/>
          <w14:textFill>
            <w14:solidFill>
              <w14:srgbClr w14:val="222222"/>
            </w14:solidFill>
          </w14:textFill>
        </w:rPr>
        <w:t xml:space="preserve">, </w:t>
      </w:r>
      <w:r>
        <w:rPr>
          <w:rFonts w:ascii="Arial" w:hAnsi="Arial"/>
          <w:i w:val="1"/>
          <w:iCs w:val="1"/>
          <w:outline w:val="0"/>
          <w:color w:val="222222"/>
          <w:sz w:val="24"/>
          <w:szCs w:val="24"/>
          <w:u w:color="222222"/>
          <w:shd w:val="clear" w:color="auto" w:fill="ffffff"/>
          <w:rtl w:val="0"/>
          <w:lang w:val="en-US"/>
          <w14:textFill>
            <w14:solidFill>
              <w14:srgbClr w14:val="222222"/>
            </w14:solidFill>
          </w14:textFill>
        </w:rPr>
        <w:t>55</w:t>
      </w:r>
      <w:r>
        <w:rPr>
          <w:rFonts w:ascii="Arial" w:hAnsi="Arial"/>
          <w:outline w:val="0"/>
          <w:color w:val="222222"/>
          <w:sz w:val="24"/>
          <w:szCs w:val="24"/>
          <w:u w:color="222222"/>
          <w:shd w:val="clear" w:color="auto" w:fill="ffffff"/>
          <w:rtl w:val="0"/>
          <w:lang w:val="en-US"/>
          <w14:textFill>
            <w14:solidFill>
              <w14:srgbClr w14:val="222222"/>
            </w14:solidFill>
          </w14:textFill>
        </w:rPr>
        <w:t>(12), 1345-1353.</w:t>
      </w:r>
    </w:p>
    <w:p>
      <w:pPr>
        <w:pStyle w:val="Table Style 2"/>
        <w:spacing w:line="480" w:lineRule="auto"/>
        <w:jc w:val="both"/>
        <w:rPr>
          <w:rFonts w:ascii="Arial" w:cs="Arial" w:hAnsi="Arial" w:eastAsia="Arial"/>
          <w:outline w:val="0"/>
          <w:color w:val="222222"/>
          <w:sz w:val="24"/>
          <w:szCs w:val="24"/>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Schuch, V., Utsumi, D. A., Costa, T. V. M. M., Kulikowski, L. D., &amp; Muszkat, M. (2015). Attention deficit hyperactivity disorder in the light of the epigenetic paradigm.</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fr-FR"/>
          <w14:textFill>
            <w14:solidFill>
              <w14:srgbClr w14:val="222222"/>
            </w14:solidFill>
          </w14:textFill>
        </w:rPr>
        <w:t>Frontiers in psychiatry</w:t>
      </w:r>
      <w:r>
        <w:rPr>
          <w:rFonts w:ascii="Arial" w:hAnsi="Arial"/>
          <w:outline w:val="0"/>
          <w:color w:val="222222"/>
          <w:u w:color="222222"/>
          <w:shd w:val="clear" w:color="auto" w:fill="ffffff"/>
          <w:rtl w:val="0"/>
          <w:lang w:val="en-US"/>
          <w14:textFill>
            <w14:solidFill>
              <w14:srgbClr w14:val="222222"/>
            </w14:solidFill>
          </w14:textFill>
        </w:rPr>
        <w:t>,</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6</w:t>
      </w:r>
      <w:r>
        <w:rPr>
          <w:rFonts w:ascii="Arial" w:hAnsi="Arial"/>
          <w:outline w:val="0"/>
          <w:color w:val="222222"/>
          <w:u w:color="222222"/>
          <w:shd w:val="clear" w:color="auto" w:fill="ffffff"/>
          <w:rtl w:val="0"/>
          <w:lang w:val="en-US"/>
          <w14:textFill>
            <w14:solidFill>
              <w14:srgbClr w14:val="222222"/>
            </w14:solidFill>
          </w14:textFill>
        </w:rPr>
        <w:t>, 126.</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Sedgwick, J. A., Merwood, A., &amp; Asherson, P. (2019). The positive aspects of attention deficit hyperactivity disorder: a qualitative investigation of successful adults with ADHD.</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ADHD Attention Deficit and Hyperactivity Disorders</w:t>
      </w:r>
      <w:r>
        <w:rPr>
          <w:rFonts w:ascii="Arial" w:hAnsi="Arial"/>
          <w:outline w:val="0"/>
          <w:color w:val="222222"/>
          <w:u w:color="222222"/>
          <w:shd w:val="clear" w:color="auto" w:fill="ffffff"/>
          <w:rtl w:val="0"/>
          <w:lang w:val="en-US"/>
          <w14:textFill>
            <w14:solidFill>
              <w14:srgbClr w14:val="222222"/>
            </w14:solidFill>
          </w14:textFill>
        </w:rPr>
        <w:t>,</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11</w:t>
      </w:r>
      <w:r>
        <w:rPr>
          <w:rFonts w:ascii="Arial" w:hAnsi="Arial"/>
          <w:outline w:val="0"/>
          <w:color w:val="222222"/>
          <w:u w:color="222222"/>
          <w:shd w:val="clear" w:color="auto" w:fill="ffffff"/>
          <w:rtl w:val="0"/>
          <w:lang w:val="en-US"/>
          <w14:textFill>
            <w14:solidFill>
              <w14:srgbClr w14:val="222222"/>
            </w14:solidFill>
          </w14:textFill>
        </w:rPr>
        <w:t>, 241-253.</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rPr>
      </w:pPr>
      <w:r>
        <w:rPr>
          <w:rFonts w:ascii="Arial" w:hAnsi="Arial"/>
          <w:outline w:val="0"/>
          <w:color w:val="222222"/>
          <w:u w:color="222222"/>
          <w:shd w:val="clear" w:color="auto" w:fill="ffffff"/>
          <w:rtl w:val="0"/>
          <w:lang w:val="en-US"/>
          <w14:textFill>
            <w14:solidFill>
              <w14:srgbClr w14:val="222222"/>
            </w14:solidFill>
          </w14:textFill>
        </w:rPr>
        <w:t>Shelley-Tremblay, J. F., &amp; Rosen, L. A. (1996). Attention deficit hyperactivity disorder: An evolutionary perspective.</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The Journal of Genetic Psychology</w:t>
      </w:r>
      <w:r>
        <w:rPr>
          <w:rFonts w:ascii="Arial" w:hAnsi="Arial"/>
          <w:outline w:val="0"/>
          <w:color w:val="222222"/>
          <w:u w:color="222222"/>
          <w:shd w:val="clear" w:color="auto" w:fill="ffffff"/>
          <w:rtl w:val="0"/>
          <w:lang w:val="en-US"/>
          <w14:textFill>
            <w14:solidFill>
              <w14:srgbClr w14:val="222222"/>
            </w14:solidFill>
          </w14:textFill>
        </w:rPr>
        <w:t>,</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157</w:t>
      </w:r>
      <w:r>
        <w:rPr>
          <w:rFonts w:ascii="Arial" w:hAnsi="Arial"/>
          <w:outline w:val="0"/>
          <w:color w:val="222222"/>
          <w:u w:color="222222"/>
          <w:shd w:val="clear" w:color="auto" w:fill="ffffff"/>
          <w:rtl w:val="0"/>
          <w:lang w:val="en-US"/>
          <w14:textFill>
            <w14:solidFill>
              <w14:srgbClr w14:val="222222"/>
            </w14:solidFill>
          </w14:textFill>
        </w:rPr>
        <w:t>(4), 443-453.</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Shoham, R., Sonuga-Barke, E. J., Aloni, H., Yaniv, I., &amp; Pollak, Y. (2016). ADHD-associated risk taking is linked to exaggerated views of the benefits of positive outcomes.</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Scientific reports</w:t>
      </w:r>
      <w:r>
        <w:rPr>
          <w:rFonts w:ascii="Arial" w:hAnsi="Arial"/>
          <w:outline w:val="0"/>
          <w:color w:val="222222"/>
          <w:u w:color="222222"/>
          <w:shd w:val="clear" w:color="auto" w:fill="ffffff"/>
          <w:rtl w:val="0"/>
          <w:lang w:val="en-US"/>
          <w14:textFill>
            <w14:solidFill>
              <w14:srgbClr w14:val="222222"/>
            </w14:solidFill>
          </w14:textFill>
        </w:rPr>
        <w:t>,</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6</w:t>
      </w:r>
      <w:r>
        <w:rPr>
          <w:rFonts w:ascii="Arial" w:hAnsi="Arial"/>
          <w:outline w:val="0"/>
          <w:color w:val="222222"/>
          <w:u w:color="222222"/>
          <w:shd w:val="clear" w:color="auto" w:fill="ffffff"/>
          <w:rtl w:val="0"/>
          <w:lang w:val="en-US"/>
          <w14:textFill>
            <w14:solidFill>
              <w14:srgbClr w14:val="222222"/>
            </w14:solidFill>
          </w14:textFill>
        </w:rPr>
        <w:t>(1), 34833.</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Smith, M. (2008). Roy Porter Student Essay Prize Winner Psychiatry Limited: Hyperactivity and the Evolution of American Psychiatry, 1957</w:t>
      </w:r>
      <w:r>
        <w:rPr>
          <w:rFonts w:ascii="Arial" w:hAnsi="Arial" w:hint="default"/>
          <w:outline w:val="0"/>
          <w:color w:val="222222"/>
          <w:u w:color="222222"/>
          <w:shd w:val="clear" w:color="auto" w:fill="ffffff"/>
          <w:rtl w:val="0"/>
          <w:lang w:val="en-US"/>
          <w14:textFill>
            <w14:solidFill>
              <w14:srgbClr w14:val="222222"/>
            </w14:solidFill>
          </w14:textFill>
        </w:rPr>
        <w:t>–</w:t>
      </w:r>
      <w:r>
        <w:rPr>
          <w:rFonts w:ascii="Arial" w:hAnsi="Arial"/>
          <w:outline w:val="0"/>
          <w:color w:val="222222"/>
          <w:u w:color="222222"/>
          <w:shd w:val="clear" w:color="auto" w:fill="ffffff"/>
          <w:rtl w:val="0"/>
          <w:lang w:val="en-US"/>
          <w14:textFill>
            <w14:solidFill>
              <w14:srgbClr w14:val="222222"/>
            </w14:solidFill>
          </w14:textFill>
        </w:rPr>
        <w:t xml:space="preserve">1980. </w:t>
      </w:r>
      <w:r>
        <w:rPr>
          <w:rFonts w:ascii="Arial" w:hAnsi="Arial"/>
          <w:i w:val="1"/>
          <w:iCs w:val="1"/>
          <w:outline w:val="0"/>
          <w:color w:val="222222"/>
          <w:u w:color="222222"/>
          <w:shd w:val="clear" w:color="auto" w:fill="ffffff"/>
          <w:rtl w:val="0"/>
          <w:lang w:val="en-US"/>
          <w14:textFill>
            <w14:solidFill>
              <w14:srgbClr w14:val="222222"/>
            </w14:solidFill>
          </w14:textFill>
        </w:rPr>
        <w:t>Social History of Medicine</w:t>
      </w:r>
      <w:r>
        <w:rPr>
          <w:rFonts w:ascii="Arial" w:hAnsi="Arial"/>
          <w:outline w:val="0"/>
          <w:color w:val="222222"/>
          <w:u w:color="222222"/>
          <w:shd w:val="clear" w:color="auto" w:fill="ffffff"/>
          <w:rtl w:val="0"/>
          <w:lang w:val="en-US"/>
          <w14:textFill>
            <w14:solidFill>
              <w14:srgbClr w14:val="222222"/>
            </w14:solidFill>
          </w14:textFill>
        </w:rPr>
        <w:t xml:space="preserve">, </w:t>
      </w:r>
      <w:r>
        <w:rPr>
          <w:rFonts w:ascii="Arial" w:hAnsi="Arial"/>
          <w:i w:val="1"/>
          <w:iCs w:val="1"/>
          <w:outline w:val="0"/>
          <w:color w:val="222222"/>
          <w:u w:color="222222"/>
          <w:shd w:val="clear" w:color="auto" w:fill="ffffff"/>
          <w:rtl w:val="0"/>
          <w:lang w:val="en-US"/>
          <w14:textFill>
            <w14:solidFill>
              <w14:srgbClr w14:val="222222"/>
            </w14:solidFill>
          </w14:textFill>
        </w:rPr>
        <w:t>21</w:t>
      </w:r>
      <w:r>
        <w:rPr>
          <w:rFonts w:ascii="Arial" w:hAnsi="Arial"/>
          <w:outline w:val="0"/>
          <w:color w:val="222222"/>
          <w:u w:color="222222"/>
          <w:shd w:val="clear" w:color="auto" w:fill="ffffff"/>
          <w:rtl w:val="0"/>
          <w:lang w:val="en-US"/>
          <w14:textFill>
            <w14:solidFill>
              <w14:srgbClr w14:val="222222"/>
            </w14:solidFill>
          </w14:textFill>
        </w:rPr>
        <w:t>(3), 541-559.</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 xml:space="preserve">Taylor, E. (2011). Antecedents of ADHD: a historical account of diagnostic concepts. </w:t>
      </w:r>
      <w:r>
        <w:rPr>
          <w:rFonts w:ascii="Arial" w:hAnsi="Arial"/>
          <w:i w:val="1"/>
          <w:iCs w:val="1"/>
          <w:outline w:val="0"/>
          <w:color w:val="222222"/>
          <w:u w:color="222222"/>
          <w:shd w:val="clear" w:color="auto" w:fill="ffffff"/>
          <w:rtl w:val="0"/>
          <w:lang w:val="en-US"/>
          <w14:textFill>
            <w14:solidFill>
              <w14:srgbClr w14:val="222222"/>
            </w14:solidFill>
          </w14:textFill>
        </w:rPr>
        <w:t>ADHD Attention Deficit and Hyperactivity Disorders</w:t>
      </w:r>
      <w:r>
        <w:rPr>
          <w:rFonts w:ascii="Arial" w:hAnsi="Arial"/>
          <w:outline w:val="0"/>
          <w:color w:val="222222"/>
          <w:u w:color="222222"/>
          <w:shd w:val="clear" w:color="auto" w:fill="ffffff"/>
          <w:rtl w:val="0"/>
          <w:lang w:val="en-US"/>
          <w14:textFill>
            <w14:solidFill>
              <w14:srgbClr w14:val="222222"/>
            </w14:solidFill>
          </w14:textFill>
        </w:rPr>
        <w:t xml:space="preserve">, </w:t>
      </w:r>
      <w:r>
        <w:rPr>
          <w:rFonts w:ascii="Arial" w:hAnsi="Arial"/>
          <w:i w:val="1"/>
          <w:iCs w:val="1"/>
          <w:outline w:val="0"/>
          <w:color w:val="222222"/>
          <w:u w:color="222222"/>
          <w:shd w:val="clear" w:color="auto" w:fill="ffffff"/>
          <w:rtl w:val="0"/>
          <w:lang w:val="en-US"/>
          <w14:textFill>
            <w14:solidFill>
              <w14:srgbClr w14:val="222222"/>
            </w14:solidFill>
          </w14:textFill>
        </w:rPr>
        <w:t>3</w:t>
      </w:r>
      <w:r>
        <w:rPr>
          <w:rFonts w:ascii="Arial" w:hAnsi="Arial"/>
          <w:outline w:val="0"/>
          <w:color w:val="222222"/>
          <w:u w:color="222222"/>
          <w:shd w:val="clear" w:color="auto" w:fill="ffffff"/>
          <w:rtl w:val="0"/>
          <w:lang w:val="en-US"/>
          <w14:textFill>
            <w14:solidFill>
              <w14:srgbClr w14:val="222222"/>
            </w14:solidFill>
          </w14:textFill>
        </w:rPr>
        <w:t>, 69-75.</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Thapar, A., Cooper, M., Eyre, O., &amp; Langley, K. (2013). Practitioner review: what have we learnt about the causes of ADHD?.</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Journal of Child Psychology and Psychiatry</w:t>
      </w:r>
      <w:r>
        <w:rPr>
          <w:rFonts w:ascii="Arial" w:hAnsi="Arial"/>
          <w:outline w:val="0"/>
          <w:color w:val="222222"/>
          <w:u w:color="222222"/>
          <w:shd w:val="clear" w:color="auto" w:fill="ffffff"/>
          <w:rtl w:val="0"/>
          <w:lang w:val="en-US"/>
          <w14:textFill>
            <w14:solidFill>
              <w14:srgbClr w14:val="222222"/>
            </w14:solidFill>
          </w14:textFill>
        </w:rPr>
        <w:t>,</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54</w:t>
      </w:r>
      <w:r>
        <w:rPr>
          <w:rFonts w:ascii="Arial" w:hAnsi="Arial"/>
          <w:outline w:val="0"/>
          <w:color w:val="222222"/>
          <w:u w:color="222222"/>
          <w:shd w:val="clear" w:color="auto" w:fill="ffffff"/>
          <w:rtl w:val="0"/>
          <w:lang w:val="en-US"/>
          <w14:textFill>
            <w14:solidFill>
              <w14:srgbClr w14:val="222222"/>
            </w14:solidFill>
          </w14:textFill>
        </w:rPr>
        <w:t>(1), 3-16.</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rPr>
      </w:pPr>
      <w:r>
        <w:rPr>
          <w:rFonts w:ascii="Arial" w:hAnsi="Arial"/>
          <w:rtl w:val="0"/>
          <w:lang w:val="en-US"/>
        </w:rPr>
        <w:t>Wade, D. T., &amp; Halligan, P. W. (2017). The biopsychosocial model of illness: a model whose time has come.</w:t>
      </w:r>
      <w:r>
        <w:rPr>
          <w:rFonts w:ascii="Arial" w:hAnsi="Arial" w:hint="default"/>
          <w:rtl w:val="0"/>
          <w:lang w:val="en-US"/>
        </w:rPr>
        <w:t> </w:t>
      </w:r>
      <w:r>
        <w:rPr>
          <w:rFonts w:ascii="Arial" w:hAnsi="Arial"/>
          <w:i w:val="1"/>
          <w:iCs w:val="1"/>
          <w:rtl w:val="0"/>
          <w:lang w:val="en-US"/>
        </w:rPr>
        <w:t>Clinical rehabilitation</w:t>
      </w:r>
      <w:r>
        <w:rPr>
          <w:rFonts w:ascii="Arial" w:hAnsi="Arial"/>
          <w:rtl w:val="0"/>
          <w:lang w:val="en-US"/>
        </w:rPr>
        <w:t>,</w:t>
      </w:r>
      <w:r>
        <w:rPr>
          <w:rFonts w:ascii="Arial" w:hAnsi="Arial" w:hint="default"/>
          <w:rtl w:val="0"/>
          <w:lang w:val="en-US"/>
        </w:rPr>
        <w:t> </w:t>
      </w:r>
      <w:r>
        <w:rPr>
          <w:rFonts w:ascii="Arial" w:hAnsi="Arial"/>
          <w:i w:val="1"/>
          <w:iCs w:val="1"/>
          <w:rtl w:val="0"/>
          <w:lang w:val="en-US"/>
        </w:rPr>
        <w:t>31</w:t>
      </w:r>
      <w:r>
        <w:rPr>
          <w:rFonts w:ascii="Arial" w:hAnsi="Arial"/>
          <w:rtl w:val="0"/>
          <w:lang w:val="en-US"/>
        </w:rPr>
        <w:t>(8), 995-1004.</w:t>
      </w:r>
    </w:p>
    <w:p>
      <w:pPr>
        <w:pStyle w:val="Default"/>
        <w:spacing w:before="0" w:line="480" w:lineRule="auto"/>
        <w:jc w:val="both"/>
        <w:rPr>
          <w:rFonts w:ascii="Arial" w:cs="Arial" w:hAnsi="Arial" w:eastAsia="Aria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Wender, P. H. (1972). THE MINIMAL BRAIN DYSFUNCTION SYNDROME IN CHILDREN: I</w:t>
      </w:r>
      <w:r>
        <w:rPr>
          <w:rFonts w:ascii="Arial" w:hAnsi="Arial" w:hint="default"/>
          <w:outline w:val="0"/>
          <w:color w:val="222222"/>
          <w:u w:color="222222"/>
          <w:shd w:val="clear" w:color="auto" w:fill="ffffff"/>
          <w:rtl w:val="0"/>
          <w:lang w:val="en-US"/>
          <w14:textFill>
            <w14:solidFill>
              <w14:srgbClr w14:val="222222"/>
            </w14:solidFill>
          </w14:textFill>
        </w:rPr>
        <w:t>–</w:t>
      </w:r>
      <w:r>
        <w:rPr>
          <w:rFonts w:ascii="Arial" w:hAnsi="Arial"/>
          <w:outline w:val="0"/>
          <w:color w:val="222222"/>
          <w:u w:color="222222"/>
          <w:shd w:val="clear" w:color="auto" w:fill="ffffff"/>
          <w:rtl w:val="0"/>
          <w:lang w:val="en-US"/>
          <w14:textFill>
            <w14:solidFill>
              <w14:srgbClr w14:val="222222"/>
            </w14:solidFill>
          </w14:textFill>
        </w:rPr>
        <w:t>THE SYNDROME AND ITS RELEVANCE FOE PSYCHIATRY II</w:t>
      </w:r>
      <w:r>
        <w:rPr>
          <w:rFonts w:ascii="Arial" w:hAnsi="Arial" w:hint="default"/>
          <w:outline w:val="0"/>
          <w:color w:val="222222"/>
          <w:u w:color="222222"/>
          <w:shd w:val="clear" w:color="auto" w:fill="ffffff"/>
          <w:rtl w:val="0"/>
          <w:lang w:val="en-US"/>
          <w14:textFill>
            <w14:solidFill>
              <w14:srgbClr w14:val="222222"/>
            </w14:solidFill>
          </w14:textFill>
        </w:rPr>
        <w:t>–</w:t>
      </w:r>
      <w:r>
        <w:rPr>
          <w:rFonts w:ascii="Arial" w:hAnsi="Arial"/>
          <w:outline w:val="0"/>
          <w:color w:val="222222"/>
          <w:u w:color="222222"/>
          <w:shd w:val="clear" w:color="auto" w:fill="ffffff"/>
          <w:rtl w:val="0"/>
          <w:lang w:val="en-US"/>
          <w14:textFill>
            <w14:solidFill>
              <w14:srgbClr w14:val="222222"/>
            </w14:solidFill>
          </w14:textFill>
        </w:rPr>
        <w:t xml:space="preserve">A PSYCHOLOGICAL AND BIOCHEMICAL MODEL FOR THE SYNDROME. </w:t>
      </w:r>
      <w:r>
        <w:rPr>
          <w:rFonts w:ascii="Arial" w:hAnsi="Arial"/>
          <w:i w:val="1"/>
          <w:iCs w:val="1"/>
          <w:outline w:val="0"/>
          <w:color w:val="222222"/>
          <w:u w:color="222222"/>
          <w:shd w:val="clear" w:color="auto" w:fill="ffffff"/>
          <w:rtl w:val="0"/>
          <w:lang w:val="en-US"/>
          <w14:textFill>
            <w14:solidFill>
              <w14:srgbClr w14:val="222222"/>
            </w14:solidFill>
          </w14:textFill>
        </w:rPr>
        <w:t>The Journal of Nervous and Mental Disease</w:t>
      </w:r>
      <w:r>
        <w:rPr>
          <w:rFonts w:ascii="Arial" w:hAnsi="Arial"/>
          <w:outline w:val="0"/>
          <w:color w:val="222222"/>
          <w:u w:color="222222"/>
          <w:shd w:val="clear" w:color="auto" w:fill="ffffff"/>
          <w:rtl w:val="0"/>
          <w:lang w:val="en-US"/>
          <w14:textFill>
            <w14:solidFill>
              <w14:srgbClr w14:val="222222"/>
            </w14:solidFill>
          </w14:textFill>
        </w:rPr>
        <w:t xml:space="preserve">, </w:t>
      </w:r>
      <w:r>
        <w:rPr>
          <w:rFonts w:ascii="Arial" w:hAnsi="Arial"/>
          <w:i w:val="1"/>
          <w:iCs w:val="1"/>
          <w:outline w:val="0"/>
          <w:color w:val="222222"/>
          <w:u w:color="222222"/>
          <w:shd w:val="clear" w:color="auto" w:fill="ffffff"/>
          <w:rtl w:val="0"/>
          <w:lang w:val="en-US"/>
          <w14:textFill>
            <w14:solidFill>
              <w14:srgbClr w14:val="222222"/>
            </w14:solidFill>
          </w14:textFill>
        </w:rPr>
        <w:t>155</w:t>
      </w:r>
      <w:r>
        <w:rPr>
          <w:rFonts w:ascii="Arial" w:hAnsi="Arial"/>
          <w:outline w:val="0"/>
          <w:color w:val="222222"/>
          <w:u w:color="222222"/>
          <w:shd w:val="clear" w:color="auto" w:fill="ffffff"/>
          <w:rtl w:val="0"/>
          <w:lang w:val="en-US"/>
          <w14:textFill>
            <w14:solidFill>
              <w14:srgbClr w14:val="222222"/>
            </w14:solidFill>
          </w14:textFill>
        </w:rPr>
        <w:t>(1), 55-71.</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 xml:space="preserve">Wender, P. H. (1975). The minimal brain dysfunction syndrome. </w:t>
      </w:r>
      <w:r>
        <w:rPr>
          <w:rFonts w:ascii="Arial" w:hAnsi="Arial"/>
          <w:i w:val="1"/>
          <w:iCs w:val="1"/>
          <w:outline w:val="0"/>
          <w:color w:val="222222"/>
          <w:u w:color="222222"/>
          <w:shd w:val="clear" w:color="auto" w:fill="ffffff"/>
          <w:rtl w:val="0"/>
          <w:lang w:val="en-US"/>
          <w14:textFill>
            <w14:solidFill>
              <w14:srgbClr w14:val="222222"/>
            </w14:solidFill>
          </w14:textFill>
        </w:rPr>
        <w:t>Annual Review of Medicine</w:t>
      </w:r>
      <w:r>
        <w:rPr>
          <w:rFonts w:ascii="Arial" w:hAnsi="Arial"/>
          <w:outline w:val="0"/>
          <w:color w:val="222222"/>
          <w:u w:color="222222"/>
          <w:shd w:val="clear" w:color="auto" w:fill="ffffff"/>
          <w:rtl w:val="0"/>
          <w:lang w:val="en-US"/>
          <w14:textFill>
            <w14:solidFill>
              <w14:srgbClr w14:val="222222"/>
            </w14:solidFill>
          </w14:textFill>
        </w:rPr>
        <w:t xml:space="preserve">, </w:t>
      </w:r>
      <w:r>
        <w:rPr>
          <w:rFonts w:ascii="Arial" w:hAnsi="Arial"/>
          <w:i w:val="1"/>
          <w:iCs w:val="1"/>
          <w:outline w:val="0"/>
          <w:color w:val="222222"/>
          <w:u w:color="222222"/>
          <w:shd w:val="clear" w:color="auto" w:fill="ffffff"/>
          <w:rtl w:val="0"/>
          <w:lang w:val="en-US"/>
          <w14:textFill>
            <w14:solidFill>
              <w14:srgbClr w14:val="222222"/>
            </w14:solidFill>
          </w14:textFill>
        </w:rPr>
        <w:t>26</w:t>
      </w:r>
      <w:r>
        <w:rPr>
          <w:rFonts w:ascii="Arial" w:hAnsi="Arial"/>
          <w:outline w:val="0"/>
          <w:color w:val="222222"/>
          <w:u w:color="222222"/>
          <w:shd w:val="clear" w:color="auto" w:fill="ffffff"/>
          <w:rtl w:val="0"/>
          <w:lang w:val="en-US"/>
          <w14:textFill>
            <w14:solidFill>
              <w14:srgbClr w14:val="222222"/>
            </w14:solidFill>
          </w14:textFill>
        </w:rPr>
        <w:t>(1), 45-62</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Wender, P. H. (1998). Pharmacotherapy of attention-deficit/hyperactivity disorder in adults.</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Journal of Clinical Psychiatry</w:t>
      </w:r>
      <w:r>
        <w:rPr>
          <w:rFonts w:ascii="Arial" w:hAnsi="Arial"/>
          <w:outline w:val="0"/>
          <w:color w:val="222222"/>
          <w:u w:color="222222"/>
          <w:shd w:val="clear" w:color="auto" w:fill="ffffff"/>
          <w:rtl w:val="0"/>
          <w:lang w:val="en-US"/>
          <w14:textFill>
            <w14:solidFill>
              <w14:srgbClr w14:val="222222"/>
            </w14:solidFill>
          </w14:textFill>
        </w:rPr>
        <w:t>,</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59</w:t>
      </w:r>
      <w:r>
        <w:rPr>
          <w:rFonts w:ascii="Arial" w:hAnsi="Arial"/>
          <w:outline w:val="0"/>
          <w:color w:val="222222"/>
          <w:u w:color="222222"/>
          <w:shd w:val="clear" w:color="auto" w:fill="ffffff"/>
          <w:rtl w:val="0"/>
          <w:lang w:val="en-US"/>
          <w14:textFill>
            <w14:solidFill>
              <w14:srgbClr w14:val="222222"/>
            </w14:solidFill>
          </w14:textFill>
        </w:rPr>
        <w:t>(7), 76-79.</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Wilmshurst, L., Peele, M., &amp; Wilmshurst, L. (2011). Resilience and well-being in college students with and without a diagnosis of ADHD.</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Journal of Attention Disorders</w:t>
      </w:r>
      <w:r>
        <w:rPr>
          <w:rFonts w:ascii="Arial" w:hAnsi="Arial"/>
          <w:outline w:val="0"/>
          <w:color w:val="222222"/>
          <w:u w:color="222222"/>
          <w:shd w:val="clear" w:color="auto" w:fill="ffffff"/>
          <w:rtl w:val="0"/>
          <w:lang w:val="en-US"/>
          <w14:textFill>
            <w14:solidFill>
              <w14:srgbClr w14:val="222222"/>
            </w14:solidFill>
          </w14:textFill>
        </w:rPr>
        <w:t>,</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15</w:t>
      </w:r>
      <w:r>
        <w:rPr>
          <w:rFonts w:ascii="Arial" w:hAnsi="Arial"/>
          <w:outline w:val="0"/>
          <w:color w:val="222222"/>
          <w:u w:color="222222"/>
          <w:shd w:val="clear" w:color="auto" w:fill="ffffff"/>
          <w:rtl w:val="0"/>
          <w:lang w:val="en-US"/>
          <w14:textFill>
            <w14:solidFill>
              <w14:srgbClr w14:val="222222"/>
            </w14:solidFill>
          </w14:textFill>
        </w:rPr>
        <w:t>(1), 11-17.</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 xml:space="preserve">Wilson, M. (1993). DSM-III and the transformation of American psychiatry: A history. </w:t>
      </w:r>
      <w:r>
        <w:rPr>
          <w:rFonts w:ascii="Arial" w:hAnsi="Arial"/>
          <w:i w:val="1"/>
          <w:iCs w:val="1"/>
          <w:outline w:val="0"/>
          <w:color w:val="222222"/>
          <w:u w:color="222222"/>
          <w:shd w:val="clear" w:color="auto" w:fill="ffffff"/>
          <w:rtl w:val="0"/>
          <w:lang w:val="en-US"/>
          <w14:textFill>
            <w14:solidFill>
              <w14:srgbClr w14:val="222222"/>
            </w14:solidFill>
          </w14:textFill>
        </w:rPr>
        <w:t>American Journal of psychiatry</w:t>
      </w:r>
      <w:r>
        <w:rPr>
          <w:rFonts w:ascii="Arial" w:hAnsi="Arial"/>
          <w:outline w:val="0"/>
          <w:color w:val="222222"/>
          <w:u w:color="222222"/>
          <w:shd w:val="clear" w:color="auto" w:fill="ffffff"/>
          <w:rtl w:val="0"/>
          <w:lang w:val="en-US"/>
          <w14:textFill>
            <w14:solidFill>
              <w14:srgbClr w14:val="222222"/>
            </w14:solidFill>
          </w14:textFill>
        </w:rPr>
        <w:t xml:space="preserve">, </w:t>
      </w:r>
      <w:r>
        <w:rPr>
          <w:rFonts w:ascii="Arial" w:hAnsi="Arial"/>
          <w:i w:val="1"/>
          <w:iCs w:val="1"/>
          <w:outline w:val="0"/>
          <w:color w:val="222222"/>
          <w:u w:color="222222"/>
          <w:shd w:val="clear" w:color="auto" w:fill="ffffff"/>
          <w:rtl w:val="0"/>
          <w:lang w:val="en-US"/>
          <w14:textFill>
            <w14:solidFill>
              <w14:srgbClr w14:val="222222"/>
            </w14:solidFill>
          </w14:textFill>
        </w:rPr>
        <w:t>150</w:t>
      </w:r>
      <w:r>
        <w:rPr>
          <w:rFonts w:ascii="Arial" w:hAnsi="Arial"/>
          <w:outline w:val="0"/>
          <w:color w:val="222222"/>
          <w:u w:color="222222"/>
          <w:shd w:val="clear" w:color="auto" w:fill="ffffff"/>
          <w:rtl w:val="0"/>
          <w:lang w:val="en-US"/>
          <w14:textFill>
            <w14:solidFill>
              <w14:srgbClr w14:val="222222"/>
            </w14:solidFill>
          </w14:textFill>
        </w:rPr>
        <w:t>, 399-399.</w:t>
      </w: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p>
    <w:p>
      <w:pPr>
        <w:pStyle w:val="Default"/>
        <w:spacing w:before="0" w:line="480" w:lineRule="auto"/>
        <w:jc w:val="both"/>
        <w:rPr>
          <w:rFonts w:ascii="Arial" w:cs="Arial" w:hAnsi="Arial" w:eastAsia="Arial"/>
          <w:outline w:val="0"/>
          <w:color w:val="222222"/>
          <w:u w:color="222222"/>
          <w:shd w:val="clear" w:color="auto" w:fill="ffffff"/>
          <w14:textFill>
            <w14:solidFill>
              <w14:srgbClr w14:val="222222"/>
            </w14:solidFill>
          </w14:textFill>
        </w:rPr>
      </w:pPr>
      <w:r>
        <w:rPr>
          <w:rFonts w:ascii="Arial" w:hAnsi="Arial"/>
          <w:outline w:val="0"/>
          <w:color w:val="222222"/>
          <w:u w:color="222222"/>
          <w:shd w:val="clear" w:color="auto" w:fill="ffffff"/>
          <w:rtl w:val="0"/>
          <w:lang w:val="en-US"/>
          <w14:textFill>
            <w14:solidFill>
              <w14:srgbClr w14:val="222222"/>
            </w14:solidFill>
          </w14:textFill>
        </w:rPr>
        <w:t>Verheul, I., Rietdijk, W., Block, J., Franken, I., Larsson, H., &amp; Thurik, R. (2016). The association between attention-deficit/hyperactivity (ADHD) symptoms and self-employment.</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European journal of epidemiology</w:t>
      </w:r>
      <w:r>
        <w:rPr>
          <w:rFonts w:ascii="Arial" w:hAnsi="Arial"/>
          <w:outline w:val="0"/>
          <w:color w:val="222222"/>
          <w:u w:color="222222"/>
          <w:shd w:val="clear" w:color="auto" w:fill="ffffff"/>
          <w:rtl w:val="0"/>
          <w:lang w:val="en-US"/>
          <w14:textFill>
            <w14:solidFill>
              <w14:srgbClr w14:val="222222"/>
            </w14:solidFill>
          </w14:textFill>
        </w:rPr>
        <w:t>,</w:t>
      </w:r>
      <w:r>
        <w:rPr>
          <w:rFonts w:ascii="Arial" w:hAnsi="Arial" w:hint="default"/>
          <w:outline w:val="0"/>
          <w:color w:val="222222"/>
          <w:u w:color="222222"/>
          <w:shd w:val="clear" w:color="auto" w:fill="ffffff"/>
          <w:rtl w:val="0"/>
          <w:lang w:val="en-US"/>
          <w14:textFill>
            <w14:solidFill>
              <w14:srgbClr w14:val="222222"/>
            </w14:solidFill>
          </w14:textFill>
        </w:rPr>
        <w:t> </w:t>
      </w:r>
      <w:r>
        <w:rPr>
          <w:rFonts w:ascii="Arial" w:hAnsi="Arial"/>
          <w:i w:val="1"/>
          <w:iCs w:val="1"/>
          <w:outline w:val="0"/>
          <w:color w:val="222222"/>
          <w:u w:color="222222"/>
          <w:shd w:val="clear" w:color="auto" w:fill="ffffff"/>
          <w:rtl w:val="0"/>
          <w:lang w:val="en-US"/>
          <w14:textFill>
            <w14:solidFill>
              <w14:srgbClr w14:val="222222"/>
            </w14:solidFill>
          </w14:textFill>
        </w:rPr>
        <w:t>31</w:t>
      </w:r>
      <w:r>
        <w:rPr>
          <w:rFonts w:ascii="Arial" w:hAnsi="Arial"/>
          <w:outline w:val="0"/>
          <w:color w:val="222222"/>
          <w:u w:color="222222"/>
          <w:shd w:val="clear" w:color="auto" w:fill="ffffff"/>
          <w:rtl w:val="0"/>
          <w:lang w:val="en-US"/>
          <w14:textFill>
            <w14:solidFill>
              <w14:srgbClr w14:val="222222"/>
            </w14:solidFill>
          </w14:textFill>
        </w:rPr>
        <w:t>, 793-801.</w:t>
      </w:r>
    </w:p>
    <w:p>
      <w:pPr>
        <w:pStyle w:val="Default"/>
        <w:spacing w:before="0" w:line="480" w:lineRule="auto"/>
        <w:jc w:val="both"/>
      </w:pPr>
      <w:r>
        <w:rPr>
          <w:rFonts w:ascii="Arial" w:cs="Arial" w:hAnsi="Arial" w:eastAsia="Arial"/>
          <w:outline w:val="0"/>
          <w:color w:val="222222"/>
          <w:u w:color="222222"/>
          <w:shd w:val="clear" w:color="auto" w:fill="ffffff"/>
          <w14:textFill>
            <w14:solidFill>
              <w14:srgbClr w14:val="222222"/>
            </w14:solidFill>
          </w14:textFill>
        </w:rPr>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rPr/>
      <w:fldChar w:fldCharType="begin" w:fldLock="0"/>
    </w:r>
    <w:r>
      <w:instrText xml:space="preserve"> PAGE </w:instrText>
    </w:r>
    <w:r>
      <w:rPr/>
      <w:fldChar w:fldCharType="separate" w:fldLock="0"/>
    </w:r>
    <w:r/>
    <w:r>
      <w:rPr/>
      <w:fldChar w:fldCharType="end" w:fldLock="0"/>
    </w:r>
    <w:r>
      <w:rPr>
        <w:rtl w:val="0"/>
        <w:lang w:val="en-US"/>
      </w:rPr>
      <w:t xml:space="preserve"> of </w:t>
    </w:r>
    <w:r>
      <w:rPr/>
      <w:fldChar w:fldCharType="begin" w:fldLock="0"/>
    </w:r>
    <w:r>
      <w:instrText xml:space="preserve"> NUMPAGES </w:instrText>
    </w:r>
    <w:r>
      <w:rPr/>
      <w:fldChar w:fldCharType="separate" w:fldLock="0"/>
    </w:r>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Table Style 2">
    <w:name w:val="Table Style 2"/>
    <w:next w:val="Table Style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